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F3FAB" w14:textId="11E517FC" w:rsidR="00223365" w:rsidRPr="006218DB" w:rsidRDefault="00AE7AC2" w:rsidP="002054E2">
      <w:pPr>
        <w:jc w:val="center"/>
        <w:rPr>
          <w:rFonts w:ascii="Arial" w:hAnsi="Arial" w:cs="Arial"/>
        </w:rPr>
      </w:pPr>
      <w:r w:rsidRPr="006218DB">
        <w:rPr>
          <w:rFonts w:ascii="Arial" w:hAnsi="Arial" w:cs="Arial"/>
        </w:rPr>
        <w:t>MICHIGAN</w:t>
      </w:r>
    </w:p>
    <w:p w14:paraId="1CD5D27A" w14:textId="7D6FBC2E" w:rsidR="00AE7AC2" w:rsidRPr="006218DB" w:rsidRDefault="00AE7AC2" w:rsidP="002054E2">
      <w:pPr>
        <w:jc w:val="center"/>
        <w:rPr>
          <w:rFonts w:ascii="Arial" w:hAnsi="Arial" w:cs="Arial"/>
        </w:rPr>
      </w:pPr>
      <w:r w:rsidRPr="006218DB">
        <w:rPr>
          <w:rFonts w:ascii="Arial" w:hAnsi="Arial" w:cs="Arial"/>
        </w:rPr>
        <w:t>DEPARTMENT OF TRANSPORTATION</w:t>
      </w:r>
    </w:p>
    <w:p w14:paraId="4CDF24FC" w14:textId="77777777" w:rsidR="00534847" w:rsidRPr="006218DB" w:rsidRDefault="00534847" w:rsidP="002054E2">
      <w:pPr>
        <w:jc w:val="center"/>
        <w:rPr>
          <w:rFonts w:ascii="Arial" w:hAnsi="Arial" w:cs="Arial"/>
        </w:rPr>
      </w:pPr>
    </w:p>
    <w:p w14:paraId="15DA6A4D" w14:textId="77777777" w:rsidR="00223365" w:rsidRPr="006218DB" w:rsidRDefault="00223365" w:rsidP="002054E2">
      <w:pPr>
        <w:jc w:val="center"/>
        <w:rPr>
          <w:rFonts w:ascii="Arial" w:hAnsi="Arial" w:cs="Arial"/>
        </w:rPr>
      </w:pPr>
      <w:r w:rsidRPr="006218DB">
        <w:rPr>
          <w:rFonts w:ascii="Arial" w:hAnsi="Arial" w:cs="Arial"/>
        </w:rPr>
        <w:t>SPECIAL PROVISION</w:t>
      </w:r>
    </w:p>
    <w:p w14:paraId="772CC404" w14:textId="77777777" w:rsidR="00223365" w:rsidRPr="006218DB" w:rsidRDefault="00223365" w:rsidP="002054E2">
      <w:pPr>
        <w:jc w:val="center"/>
        <w:rPr>
          <w:rFonts w:ascii="Arial" w:hAnsi="Arial" w:cs="Arial"/>
        </w:rPr>
      </w:pPr>
      <w:r w:rsidRPr="006218DB">
        <w:rPr>
          <w:rFonts w:ascii="Arial" w:hAnsi="Arial" w:cs="Arial"/>
        </w:rPr>
        <w:t>FOR</w:t>
      </w:r>
    </w:p>
    <w:p w14:paraId="0B68C890" w14:textId="364DE2A3" w:rsidR="00223365" w:rsidRPr="006218DB" w:rsidRDefault="006E57C8" w:rsidP="002054E2">
      <w:pPr>
        <w:jc w:val="center"/>
        <w:rPr>
          <w:rFonts w:ascii="Arial" w:hAnsi="Arial" w:cs="Arial"/>
        </w:rPr>
      </w:pPr>
      <w:r w:rsidRPr="006218DB">
        <w:rPr>
          <w:rFonts w:ascii="Arial" w:hAnsi="Arial" w:cs="Arial"/>
          <w:b/>
          <w:bCs/>
        </w:rPr>
        <w:t xml:space="preserve">PUBLIC LIGHTING AUTHORITY </w:t>
      </w:r>
      <w:r w:rsidR="008567BD" w:rsidRPr="006218DB">
        <w:rPr>
          <w:rFonts w:ascii="Arial" w:hAnsi="Arial" w:cs="Arial"/>
          <w:b/>
          <w:bCs/>
        </w:rPr>
        <w:t>LIGHT ASSEMBLY</w:t>
      </w:r>
    </w:p>
    <w:p w14:paraId="4DE30092" w14:textId="77777777" w:rsidR="00223365" w:rsidRPr="006218DB" w:rsidRDefault="00223365">
      <w:pPr>
        <w:jc w:val="both"/>
        <w:rPr>
          <w:rFonts w:ascii="Arial" w:hAnsi="Arial" w:cs="Arial"/>
        </w:rPr>
      </w:pPr>
    </w:p>
    <w:p w14:paraId="1899CD17" w14:textId="5C569967" w:rsidR="00223365" w:rsidRPr="006218DB" w:rsidRDefault="002054E2" w:rsidP="006218DB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6218DB">
        <w:rPr>
          <w:rFonts w:ascii="Arial" w:hAnsi="Arial" w:cs="Arial"/>
        </w:rPr>
        <w:t>UTL</w:t>
      </w:r>
      <w:r w:rsidR="00534847" w:rsidRPr="006218DB">
        <w:rPr>
          <w:rFonts w:ascii="Arial" w:hAnsi="Arial" w:cs="Arial"/>
        </w:rPr>
        <w:t>:</w:t>
      </w:r>
      <w:r w:rsidRPr="006218DB">
        <w:rPr>
          <w:rFonts w:ascii="Arial" w:hAnsi="Arial" w:cs="Arial"/>
        </w:rPr>
        <w:t>BMB</w:t>
      </w:r>
      <w:proofErr w:type="gramEnd"/>
      <w:r w:rsidR="00534847" w:rsidRPr="006218DB">
        <w:rPr>
          <w:rFonts w:ascii="Arial" w:hAnsi="Arial" w:cs="Arial"/>
        </w:rPr>
        <w:tab/>
      </w:r>
      <w:r w:rsidR="00C70539" w:rsidRPr="006218DB">
        <w:rPr>
          <w:rFonts w:ascii="Arial" w:hAnsi="Arial" w:cs="Arial"/>
          <w:bCs/>
        </w:rPr>
        <w:fldChar w:fldCharType="begin"/>
      </w:r>
      <w:r w:rsidR="00C70539" w:rsidRPr="006218DB">
        <w:rPr>
          <w:rFonts w:ascii="Arial" w:hAnsi="Arial" w:cs="Arial"/>
          <w:bCs/>
        </w:rPr>
        <w:instrText xml:space="preserve"> PAGE  \* Arabic  \* MERGEFORMAT </w:instrText>
      </w:r>
      <w:r w:rsidR="00C70539" w:rsidRPr="006218DB">
        <w:rPr>
          <w:rFonts w:ascii="Arial" w:hAnsi="Arial" w:cs="Arial"/>
          <w:bCs/>
        </w:rPr>
        <w:fldChar w:fldCharType="separate"/>
      </w:r>
      <w:r w:rsidR="00E01406" w:rsidRPr="006218DB">
        <w:rPr>
          <w:rFonts w:ascii="Arial" w:hAnsi="Arial" w:cs="Arial"/>
          <w:bCs/>
          <w:noProof/>
        </w:rPr>
        <w:t>1</w:t>
      </w:r>
      <w:r w:rsidR="00C70539" w:rsidRPr="006218DB">
        <w:rPr>
          <w:rFonts w:ascii="Arial" w:hAnsi="Arial" w:cs="Arial"/>
          <w:bCs/>
        </w:rPr>
        <w:fldChar w:fldCharType="end"/>
      </w:r>
      <w:r w:rsidR="00C70539" w:rsidRPr="006218DB">
        <w:rPr>
          <w:rFonts w:ascii="Arial" w:hAnsi="Arial" w:cs="Arial"/>
        </w:rPr>
        <w:t xml:space="preserve"> of </w:t>
      </w:r>
      <w:r w:rsidR="00C70539" w:rsidRPr="006218DB">
        <w:rPr>
          <w:rFonts w:ascii="Arial" w:hAnsi="Arial" w:cs="Arial"/>
          <w:bCs/>
        </w:rPr>
        <w:fldChar w:fldCharType="begin"/>
      </w:r>
      <w:r w:rsidR="00C70539" w:rsidRPr="006218DB">
        <w:rPr>
          <w:rFonts w:ascii="Arial" w:hAnsi="Arial" w:cs="Arial"/>
          <w:bCs/>
        </w:rPr>
        <w:instrText xml:space="preserve"> NUMPAGES  \* Arabic  \* MERGEFORMAT </w:instrText>
      </w:r>
      <w:r w:rsidR="00C70539" w:rsidRPr="006218DB">
        <w:rPr>
          <w:rFonts w:ascii="Arial" w:hAnsi="Arial" w:cs="Arial"/>
          <w:bCs/>
        </w:rPr>
        <w:fldChar w:fldCharType="separate"/>
      </w:r>
      <w:r w:rsidR="00E01406" w:rsidRPr="006218DB">
        <w:rPr>
          <w:rFonts w:ascii="Arial" w:hAnsi="Arial" w:cs="Arial"/>
          <w:bCs/>
          <w:noProof/>
        </w:rPr>
        <w:t>1</w:t>
      </w:r>
      <w:r w:rsidR="00C70539" w:rsidRPr="006218DB">
        <w:rPr>
          <w:rFonts w:ascii="Arial" w:hAnsi="Arial" w:cs="Arial"/>
          <w:bCs/>
        </w:rPr>
        <w:fldChar w:fldCharType="end"/>
      </w:r>
      <w:r w:rsidR="00534847" w:rsidRPr="006218DB">
        <w:rPr>
          <w:rFonts w:ascii="Arial" w:hAnsi="Arial" w:cs="Arial"/>
        </w:rPr>
        <w:tab/>
        <w:t>APPR:</w:t>
      </w:r>
      <w:r w:rsidR="003633E4" w:rsidRPr="006218DB">
        <w:rPr>
          <w:rFonts w:ascii="Arial" w:hAnsi="Arial" w:cs="Arial"/>
        </w:rPr>
        <w:t>RPB</w:t>
      </w:r>
      <w:r w:rsidRPr="006218DB">
        <w:rPr>
          <w:rFonts w:ascii="Arial" w:hAnsi="Arial" w:cs="Arial"/>
        </w:rPr>
        <w:t>:DBP:</w:t>
      </w:r>
      <w:r w:rsidR="00CB4314" w:rsidRPr="006218DB">
        <w:rPr>
          <w:rFonts w:ascii="Arial" w:hAnsi="Arial" w:cs="Arial"/>
        </w:rPr>
        <w:t>0</w:t>
      </w:r>
      <w:r w:rsidR="00CB4314">
        <w:rPr>
          <w:rFonts w:ascii="Arial" w:hAnsi="Arial" w:cs="Arial"/>
        </w:rPr>
        <w:t>9</w:t>
      </w:r>
      <w:r w:rsidR="009B7B4A" w:rsidRPr="006218DB">
        <w:rPr>
          <w:rFonts w:ascii="Arial" w:hAnsi="Arial" w:cs="Arial"/>
        </w:rPr>
        <w:t>-</w:t>
      </w:r>
      <w:r w:rsidR="00CB4314">
        <w:rPr>
          <w:rFonts w:ascii="Arial" w:hAnsi="Arial" w:cs="Arial"/>
        </w:rPr>
        <w:t>23</w:t>
      </w:r>
      <w:r w:rsidR="009B7B4A" w:rsidRPr="006218DB">
        <w:rPr>
          <w:rFonts w:ascii="Arial" w:hAnsi="Arial" w:cs="Arial"/>
        </w:rPr>
        <w:t>-24</w:t>
      </w:r>
    </w:p>
    <w:p w14:paraId="5F5D9BFB" w14:textId="77777777" w:rsidR="00223365" w:rsidRPr="006218DB" w:rsidRDefault="00223365">
      <w:pPr>
        <w:jc w:val="both"/>
        <w:rPr>
          <w:rFonts w:ascii="Arial" w:hAnsi="Arial" w:cs="Arial"/>
          <w:bCs/>
          <w:sz w:val="22"/>
          <w:szCs w:val="22"/>
        </w:rPr>
      </w:pPr>
    </w:p>
    <w:p w14:paraId="2535E7F8" w14:textId="24123B20" w:rsidR="00223365" w:rsidRPr="006218DB" w:rsidRDefault="0022336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b/>
          <w:bCs/>
          <w:sz w:val="22"/>
          <w:szCs w:val="22"/>
        </w:rPr>
        <w:t>a.</w:t>
      </w:r>
      <w:r w:rsidRPr="006218DB">
        <w:rPr>
          <w:rFonts w:ascii="Arial" w:hAnsi="Arial" w:cs="Arial"/>
          <w:b/>
          <w:bCs/>
          <w:sz w:val="22"/>
          <w:szCs w:val="22"/>
        </w:rPr>
        <w:tab/>
        <w:t>Description.</w:t>
      </w:r>
      <w:r w:rsidRPr="006218DB">
        <w:rPr>
          <w:rFonts w:ascii="Arial" w:hAnsi="Arial" w:cs="Arial"/>
          <w:bCs/>
          <w:sz w:val="22"/>
          <w:szCs w:val="22"/>
        </w:rPr>
        <w:t xml:space="preserve">  </w:t>
      </w:r>
      <w:r w:rsidRPr="006218DB">
        <w:rPr>
          <w:rFonts w:ascii="Arial" w:hAnsi="Arial" w:cs="Arial"/>
          <w:sz w:val="22"/>
          <w:szCs w:val="22"/>
        </w:rPr>
        <w:t>This work c</w:t>
      </w:r>
      <w:r w:rsidR="00534847" w:rsidRPr="006218DB">
        <w:rPr>
          <w:rFonts w:ascii="Arial" w:hAnsi="Arial" w:cs="Arial"/>
          <w:sz w:val="22"/>
          <w:szCs w:val="22"/>
        </w:rPr>
        <w:t xml:space="preserve">onsists of </w:t>
      </w:r>
      <w:r w:rsidRPr="006218DB">
        <w:rPr>
          <w:rFonts w:ascii="Arial" w:hAnsi="Arial" w:cs="Arial"/>
          <w:sz w:val="22"/>
          <w:szCs w:val="22"/>
        </w:rPr>
        <w:t>installation of new light standards</w:t>
      </w:r>
      <w:r w:rsidR="00D037A6" w:rsidRPr="006218DB">
        <w:rPr>
          <w:rFonts w:ascii="Arial" w:hAnsi="Arial" w:cs="Arial"/>
          <w:sz w:val="22"/>
          <w:szCs w:val="22"/>
        </w:rPr>
        <w:t>, arms,</w:t>
      </w:r>
      <w:r w:rsidRPr="006218DB">
        <w:rPr>
          <w:rFonts w:ascii="Arial" w:hAnsi="Arial" w:cs="Arial"/>
          <w:sz w:val="22"/>
          <w:szCs w:val="22"/>
        </w:rPr>
        <w:t xml:space="preserve"> and luminaries </w:t>
      </w:r>
      <w:r w:rsidR="008567BD" w:rsidRPr="006218DB">
        <w:rPr>
          <w:rFonts w:ascii="Arial" w:hAnsi="Arial" w:cs="Arial"/>
          <w:sz w:val="22"/>
          <w:szCs w:val="22"/>
        </w:rPr>
        <w:t xml:space="preserve">to match those </w:t>
      </w:r>
      <w:r w:rsidR="00473922" w:rsidRPr="006218DB">
        <w:rPr>
          <w:rFonts w:ascii="Arial" w:hAnsi="Arial" w:cs="Arial"/>
          <w:sz w:val="22"/>
          <w:szCs w:val="22"/>
        </w:rPr>
        <w:t>recently</w:t>
      </w:r>
      <w:r w:rsidR="008567BD" w:rsidRPr="006218DB">
        <w:rPr>
          <w:rFonts w:ascii="Arial" w:hAnsi="Arial" w:cs="Arial"/>
          <w:sz w:val="22"/>
          <w:szCs w:val="22"/>
        </w:rPr>
        <w:t xml:space="preserve"> installed by DTE Energy within the project limits.</w:t>
      </w:r>
      <w:r w:rsidRPr="006218DB">
        <w:rPr>
          <w:rFonts w:ascii="Arial" w:hAnsi="Arial" w:cs="Arial"/>
          <w:sz w:val="22"/>
          <w:szCs w:val="22"/>
        </w:rPr>
        <w:t xml:space="preserve">  </w:t>
      </w:r>
      <w:r w:rsidR="00534847" w:rsidRPr="006218DB">
        <w:rPr>
          <w:rFonts w:ascii="Arial" w:hAnsi="Arial" w:cs="Arial"/>
          <w:sz w:val="22"/>
          <w:szCs w:val="22"/>
        </w:rPr>
        <w:t xml:space="preserve">Perform work in accordance with this </w:t>
      </w:r>
      <w:r w:rsidR="001D6F72" w:rsidRPr="006218DB">
        <w:rPr>
          <w:rFonts w:ascii="Arial" w:hAnsi="Arial" w:cs="Arial"/>
          <w:sz w:val="22"/>
          <w:szCs w:val="22"/>
        </w:rPr>
        <w:t xml:space="preserve">special provision </w:t>
      </w:r>
      <w:r w:rsidR="00534847" w:rsidRPr="006218DB">
        <w:rPr>
          <w:rFonts w:ascii="Arial" w:hAnsi="Arial" w:cs="Arial"/>
          <w:sz w:val="22"/>
          <w:szCs w:val="22"/>
        </w:rPr>
        <w:t>and as detailed on the plans.</w:t>
      </w:r>
    </w:p>
    <w:p w14:paraId="2010CB45" w14:textId="77777777" w:rsidR="00223365" w:rsidRPr="006218DB" w:rsidRDefault="00223365">
      <w:pPr>
        <w:jc w:val="both"/>
        <w:rPr>
          <w:rFonts w:ascii="Arial" w:hAnsi="Arial" w:cs="Arial"/>
          <w:sz w:val="22"/>
          <w:szCs w:val="22"/>
        </w:rPr>
      </w:pPr>
    </w:p>
    <w:p w14:paraId="6F13A929" w14:textId="0BA8210D" w:rsidR="000148FE" w:rsidRPr="006218DB" w:rsidRDefault="00223365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6218DB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6218DB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6218DB">
        <w:rPr>
          <w:rFonts w:ascii="Arial" w:hAnsi="Arial" w:cs="Arial"/>
          <w:bCs/>
          <w:sz w:val="22"/>
          <w:szCs w:val="22"/>
        </w:rPr>
        <w:t xml:space="preserve">  </w:t>
      </w:r>
      <w:r w:rsidR="004F166E">
        <w:rPr>
          <w:rFonts w:ascii="Arial" w:hAnsi="Arial" w:cs="Arial"/>
          <w:bCs/>
          <w:sz w:val="22"/>
          <w:szCs w:val="22"/>
        </w:rPr>
        <w:t>Furnish</w:t>
      </w:r>
      <w:r w:rsidR="004F166E" w:rsidRPr="006218DB">
        <w:rPr>
          <w:rFonts w:ascii="Arial" w:hAnsi="Arial" w:cs="Arial"/>
          <w:bCs/>
          <w:sz w:val="22"/>
          <w:szCs w:val="22"/>
        </w:rPr>
        <w:t xml:space="preserve"> </w:t>
      </w:r>
      <w:r w:rsidR="00473922" w:rsidRPr="006218DB">
        <w:rPr>
          <w:rFonts w:ascii="Arial" w:hAnsi="Arial" w:cs="Arial"/>
          <w:bCs/>
          <w:sz w:val="22"/>
          <w:szCs w:val="22"/>
        </w:rPr>
        <w:t xml:space="preserve">aluminum light </w:t>
      </w:r>
      <w:r w:rsidR="000F0519" w:rsidRPr="006218DB">
        <w:rPr>
          <w:rFonts w:ascii="Arial" w:hAnsi="Arial" w:cs="Arial"/>
          <w:bCs/>
          <w:sz w:val="22"/>
          <w:szCs w:val="22"/>
        </w:rPr>
        <w:t>standards</w:t>
      </w:r>
      <w:r w:rsidR="00473922" w:rsidRPr="006218DB">
        <w:rPr>
          <w:rFonts w:ascii="Arial" w:hAnsi="Arial" w:cs="Arial"/>
          <w:bCs/>
          <w:sz w:val="22"/>
          <w:szCs w:val="22"/>
        </w:rPr>
        <w:t>, arms</w:t>
      </w:r>
      <w:r w:rsidR="007E3825" w:rsidRPr="006218DB">
        <w:rPr>
          <w:rFonts w:ascii="Arial" w:hAnsi="Arial" w:cs="Arial"/>
          <w:bCs/>
          <w:sz w:val="22"/>
          <w:szCs w:val="22"/>
        </w:rPr>
        <w:t xml:space="preserve">, luminaires, anchor bolts and hardware as shown on </w:t>
      </w:r>
      <w:r w:rsidR="00473922" w:rsidRPr="006218DB">
        <w:rPr>
          <w:rFonts w:ascii="Arial" w:hAnsi="Arial" w:cs="Arial"/>
          <w:bCs/>
          <w:sz w:val="22"/>
          <w:szCs w:val="22"/>
        </w:rPr>
        <w:t xml:space="preserve">the plan sheet titled, </w:t>
      </w:r>
      <w:r w:rsidR="00473922" w:rsidRPr="006218DB">
        <w:rPr>
          <w:rFonts w:ascii="Arial" w:hAnsi="Arial" w:cs="Arial"/>
          <w:bCs/>
          <w:i/>
          <w:sz w:val="22"/>
          <w:szCs w:val="22"/>
        </w:rPr>
        <w:t>“PLA Light Assembly Details”</w:t>
      </w:r>
      <w:r w:rsidR="00473922" w:rsidRPr="006218DB">
        <w:rPr>
          <w:rFonts w:ascii="Arial" w:hAnsi="Arial" w:cs="Arial"/>
          <w:bCs/>
          <w:sz w:val="22"/>
          <w:szCs w:val="22"/>
        </w:rPr>
        <w:t>.</w:t>
      </w:r>
    </w:p>
    <w:p w14:paraId="10D4177F" w14:textId="441F8188" w:rsidR="00F24BBF" w:rsidRPr="006218DB" w:rsidRDefault="00F24BBF">
      <w:pPr>
        <w:jc w:val="both"/>
        <w:rPr>
          <w:rFonts w:ascii="Arial" w:hAnsi="Arial" w:cs="Arial"/>
          <w:bCs/>
          <w:sz w:val="22"/>
          <w:szCs w:val="22"/>
        </w:rPr>
      </w:pPr>
    </w:p>
    <w:p w14:paraId="7E662EA8" w14:textId="27003BF6" w:rsidR="00F24BBF" w:rsidRPr="004F166E" w:rsidRDefault="00F24BBF" w:rsidP="002C54B7">
      <w:pPr>
        <w:autoSpaceDE/>
        <w:autoSpaceDN/>
        <w:adjustRightInd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F166E">
        <w:rPr>
          <w:rFonts w:ascii="Arial" w:hAnsi="Arial" w:cs="Arial"/>
          <w:sz w:val="22"/>
          <w:szCs w:val="22"/>
        </w:rPr>
        <w:t>1.</w:t>
      </w:r>
      <w:r w:rsidRPr="004F166E">
        <w:rPr>
          <w:rFonts w:ascii="Arial" w:hAnsi="Arial" w:cs="Arial"/>
          <w:sz w:val="22"/>
          <w:szCs w:val="22"/>
        </w:rPr>
        <w:tab/>
        <w:t xml:space="preserve">Luminaire.  </w:t>
      </w:r>
      <w:r w:rsidR="004F166E">
        <w:rPr>
          <w:rFonts w:ascii="Arial" w:hAnsi="Arial" w:cs="Arial"/>
          <w:sz w:val="22"/>
          <w:szCs w:val="22"/>
        </w:rPr>
        <w:t>Furnish</w:t>
      </w:r>
      <w:r w:rsidR="004F166E" w:rsidRPr="004F166E">
        <w:rPr>
          <w:rFonts w:ascii="Arial" w:hAnsi="Arial" w:cs="Arial"/>
          <w:sz w:val="22"/>
          <w:szCs w:val="22"/>
        </w:rPr>
        <w:t xml:space="preserve"> </w:t>
      </w:r>
      <w:r w:rsidRPr="004F166E">
        <w:rPr>
          <w:rFonts w:ascii="Arial" w:hAnsi="Arial" w:cs="Arial"/>
          <w:sz w:val="22"/>
          <w:szCs w:val="22"/>
        </w:rPr>
        <w:t>Cree XSP Series LED streetlight (Catalog # BXSP C HT 3ME F 40K-UL SV)</w:t>
      </w:r>
      <w:r w:rsidR="00122D54" w:rsidRPr="004F166E">
        <w:rPr>
          <w:rFonts w:ascii="Arial" w:hAnsi="Arial" w:cs="Arial"/>
          <w:sz w:val="22"/>
          <w:szCs w:val="22"/>
        </w:rPr>
        <w:t>.</w:t>
      </w:r>
    </w:p>
    <w:p w14:paraId="3118ECAD" w14:textId="77777777" w:rsidR="00F24BBF" w:rsidRPr="004F166E" w:rsidRDefault="00F24BBF" w:rsidP="002C54B7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243C7640" w14:textId="28A1E3C1" w:rsidR="00F24BBF" w:rsidRPr="004F166E" w:rsidRDefault="00F24BBF" w:rsidP="002C54B7">
      <w:pPr>
        <w:autoSpaceDE/>
        <w:autoSpaceDN/>
        <w:adjustRightInd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F166E">
        <w:rPr>
          <w:rFonts w:ascii="Arial" w:hAnsi="Arial" w:cs="Arial"/>
          <w:sz w:val="22"/>
          <w:szCs w:val="22"/>
        </w:rPr>
        <w:t>2.</w:t>
      </w:r>
      <w:r w:rsidRPr="004F166E">
        <w:rPr>
          <w:rFonts w:ascii="Arial" w:hAnsi="Arial" w:cs="Arial"/>
          <w:sz w:val="22"/>
          <w:szCs w:val="22"/>
        </w:rPr>
        <w:tab/>
      </w:r>
      <w:r w:rsidR="000F0519" w:rsidRPr="004F166E">
        <w:rPr>
          <w:rFonts w:ascii="Arial" w:hAnsi="Arial" w:cs="Arial"/>
          <w:sz w:val="22"/>
          <w:szCs w:val="22"/>
        </w:rPr>
        <w:t>Light Standard</w:t>
      </w:r>
      <w:r w:rsidRPr="004F166E">
        <w:rPr>
          <w:rFonts w:ascii="Arial" w:hAnsi="Arial" w:cs="Arial"/>
          <w:sz w:val="22"/>
          <w:szCs w:val="22"/>
        </w:rPr>
        <w:t xml:space="preserve">.  </w:t>
      </w:r>
      <w:r w:rsidR="004F166E">
        <w:rPr>
          <w:rFonts w:ascii="Arial" w:hAnsi="Arial" w:cs="Arial"/>
          <w:sz w:val="22"/>
          <w:szCs w:val="22"/>
        </w:rPr>
        <w:t>Furnish</w:t>
      </w:r>
      <w:r w:rsidR="004F166E" w:rsidRPr="004F16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38DB">
        <w:rPr>
          <w:rFonts w:ascii="Arial" w:hAnsi="Arial" w:cs="Arial"/>
          <w:sz w:val="22"/>
          <w:szCs w:val="22"/>
        </w:rPr>
        <w:t>Hapco</w:t>
      </w:r>
      <w:proofErr w:type="spellEnd"/>
      <w:r w:rsidRPr="004F166E">
        <w:rPr>
          <w:rFonts w:ascii="Arial" w:hAnsi="Arial" w:cs="Arial"/>
          <w:sz w:val="22"/>
          <w:szCs w:val="22"/>
        </w:rPr>
        <w:t xml:space="preserve"> 28</w:t>
      </w:r>
      <w:r w:rsidR="00847BAF" w:rsidRPr="004F166E">
        <w:rPr>
          <w:rFonts w:ascii="Arial" w:hAnsi="Arial" w:cs="Arial"/>
          <w:sz w:val="22"/>
          <w:szCs w:val="22"/>
        </w:rPr>
        <w:t>-</w:t>
      </w:r>
      <w:r w:rsidR="00453FC1" w:rsidRPr="004F166E">
        <w:rPr>
          <w:rFonts w:ascii="Arial" w:hAnsi="Arial" w:cs="Arial"/>
          <w:sz w:val="22"/>
          <w:szCs w:val="22"/>
        </w:rPr>
        <w:t>foot</w:t>
      </w:r>
      <w:r w:rsidRPr="004F166E">
        <w:rPr>
          <w:rFonts w:ascii="Arial" w:hAnsi="Arial" w:cs="Arial"/>
          <w:sz w:val="22"/>
          <w:szCs w:val="22"/>
        </w:rPr>
        <w:t xml:space="preserve"> aluminum poles (Item No. 33265-01 and 33265-002) as </w:t>
      </w:r>
      <w:r w:rsidR="002054E2" w:rsidRPr="004F166E">
        <w:rPr>
          <w:rFonts w:ascii="Arial" w:hAnsi="Arial" w:cs="Arial"/>
          <w:sz w:val="22"/>
          <w:szCs w:val="22"/>
        </w:rPr>
        <w:t xml:space="preserve">shown </w:t>
      </w:r>
      <w:r w:rsidRPr="004F166E">
        <w:rPr>
          <w:rFonts w:ascii="Arial" w:hAnsi="Arial" w:cs="Arial"/>
          <w:sz w:val="22"/>
          <w:szCs w:val="22"/>
        </w:rPr>
        <w:t>on the plans</w:t>
      </w:r>
      <w:r w:rsidR="00122D54" w:rsidRPr="004F166E">
        <w:rPr>
          <w:rFonts w:ascii="Arial" w:hAnsi="Arial" w:cs="Arial"/>
          <w:sz w:val="22"/>
          <w:szCs w:val="22"/>
        </w:rPr>
        <w:t>.</w:t>
      </w:r>
    </w:p>
    <w:p w14:paraId="3E914114" w14:textId="77777777" w:rsidR="00F24BBF" w:rsidRPr="004F166E" w:rsidRDefault="00F24BBF" w:rsidP="002C54B7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657A6F36" w14:textId="65AB1E74" w:rsidR="00F24BBF" w:rsidRPr="004F166E" w:rsidRDefault="00F24BBF" w:rsidP="002C54B7">
      <w:pPr>
        <w:autoSpaceDE/>
        <w:autoSpaceDN/>
        <w:adjustRightInd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F166E">
        <w:rPr>
          <w:rFonts w:ascii="Arial" w:hAnsi="Arial" w:cs="Arial"/>
          <w:sz w:val="22"/>
          <w:szCs w:val="22"/>
        </w:rPr>
        <w:t>3.</w:t>
      </w:r>
      <w:r w:rsidRPr="004F166E">
        <w:rPr>
          <w:rFonts w:ascii="Arial" w:hAnsi="Arial" w:cs="Arial"/>
          <w:sz w:val="22"/>
          <w:szCs w:val="22"/>
        </w:rPr>
        <w:tab/>
        <w:t xml:space="preserve">Hardware.  </w:t>
      </w:r>
      <w:r w:rsidR="004F166E">
        <w:rPr>
          <w:rFonts w:ascii="Arial" w:hAnsi="Arial" w:cs="Arial"/>
          <w:sz w:val="22"/>
          <w:szCs w:val="22"/>
        </w:rPr>
        <w:t>Furnish</w:t>
      </w:r>
      <w:r w:rsidR="004F166E" w:rsidRPr="004F166E">
        <w:rPr>
          <w:rFonts w:ascii="Arial" w:hAnsi="Arial" w:cs="Arial"/>
          <w:sz w:val="22"/>
          <w:szCs w:val="22"/>
        </w:rPr>
        <w:t xml:space="preserve"> </w:t>
      </w:r>
      <w:r w:rsidRPr="004F166E">
        <w:rPr>
          <w:rFonts w:ascii="Arial" w:hAnsi="Arial" w:cs="Arial"/>
          <w:sz w:val="22"/>
          <w:szCs w:val="22"/>
        </w:rPr>
        <w:t xml:space="preserve">as </w:t>
      </w:r>
      <w:r w:rsidR="002054E2" w:rsidRPr="004F166E">
        <w:rPr>
          <w:rFonts w:ascii="Arial" w:hAnsi="Arial" w:cs="Arial"/>
          <w:sz w:val="22"/>
          <w:szCs w:val="22"/>
        </w:rPr>
        <w:t xml:space="preserve">shown </w:t>
      </w:r>
      <w:r w:rsidRPr="004F166E">
        <w:rPr>
          <w:rFonts w:ascii="Arial" w:hAnsi="Arial" w:cs="Arial"/>
          <w:sz w:val="22"/>
          <w:szCs w:val="22"/>
        </w:rPr>
        <w:t>on the plans.</w:t>
      </w:r>
    </w:p>
    <w:p w14:paraId="07B91A6C" w14:textId="436BA944" w:rsidR="00F24BBF" w:rsidRPr="004F166E" w:rsidRDefault="00F24BBF">
      <w:pPr>
        <w:jc w:val="both"/>
        <w:rPr>
          <w:rFonts w:ascii="Arial" w:hAnsi="Arial" w:cs="Arial"/>
          <w:bCs/>
          <w:sz w:val="22"/>
          <w:szCs w:val="22"/>
        </w:rPr>
      </w:pPr>
    </w:p>
    <w:p w14:paraId="61A7A963" w14:textId="70BC42F2" w:rsidR="00F24BBF" w:rsidRPr="004F166E" w:rsidRDefault="00F24BBF" w:rsidP="002C54B7">
      <w:pPr>
        <w:autoSpaceDE/>
        <w:autoSpaceDN/>
        <w:adjustRightInd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F166E">
        <w:rPr>
          <w:rFonts w:ascii="Arial" w:hAnsi="Arial" w:cs="Arial"/>
          <w:sz w:val="22"/>
          <w:szCs w:val="22"/>
        </w:rPr>
        <w:t>4.</w:t>
      </w:r>
      <w:r w:rsidRPr="004F166E">
        <w:rPr>
          <w:rFonts w:ascii="Arial" w:hAnsi="Arial" w:cs="Arial"/>
          <w:sz w:val="22"/>
          <w:szCs w:val="22"/>
        </w:rPr>
        <w:tab/>
        <w:t xml:space="preserve">Light Standard Arm.  </w:t>
      </w:r>
      <w:r w:rsidR="004F166E">
        <w:rPr>
          <w:rFonts w:ascii="Arial" w:hAnsi="Arial" w:cs="Arial"/>
          <w:sz w:val="22"/>
          <w:szCs w:val="22"/>
        </w:rPr>
        <w:t>Furnish</w:t>
      </w:r>
      <w:r w:rsidR="004F166E" w:rsidRPr="004F166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F166E">
        <w:rPr>
          <w:rFonts w:ascii="Arial" w:hAnsi="Arial" w:cs="Arial"/>
          <w:sz w:val="22"/>
          <w:szCs w:val="22"/>
        </w:rPr>
        <w:t>6</w:t>
      </w:r>
      <w:r w:rsidR="00453FC1" w:rsidRPr="004F166E">
        <w:rPr>
          <w:rFonts w:ascii="Arial" w:hAnsi="Arial" w:cs="Arial"/>
          <w:sz w:val="22"/>
          <w:szCs w:val="22"/>
        </w:rPr>
        <w:t xml:space="preserve"> foot</w:t>
      </w:r>
      <w:proofErr w:type="gramEnd"/>
      <w:r w:rsidRPr="004F16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166E">
        <w:rPr>
          <w:rFonts w:ascii="Arial" w:hAnsi="Arial" w:cs="Arial"/>
          <w:sz w:val="22"/>
          <w:szCs w:val="22"/>
        </w:rPr>
        <w:t>Hapco</w:t>
      </w:r>
      <w:proofErr w:type="spellEnd"/>
      <w:r w:rsidRPr="004F166E">
        <w:rPr>
          <w:rFonts w:ascii="Arial" w:hAnsi="Arial" w:cs="Arial"/>
          <w:sz w:val="22"/>
          <w:szCs w:val="22"/>
        </w:rPr>
        <w:t xml:space="preserve"> aluminum arm as </w:t>
      </w:r>
      <w:r w:rsidR="002054E2" w:rsidRPr="004F166E">
        <w:rPr>
          <w:rFonts w:ascii="Arial" w:hAnsi="Arial" w:cs="Arial"/>
          <w:sz w:val="22"/>
          <w:szCs w:val="22"/>
        </w:rPr>
        <w:t xml:space="preserve">shown </w:t>
      </w:r>
      <w:r w:rsidRPr="004F166E">
        <w:rPr>
          <w:rFonts w:ascii="Arial" w:hAnsi="Arial" w:cs="Arial"/>
          <w:sz w:val="22"/>
          <w:szCs w:val="22"/>
        </w:rPr>
        <w:t>on the plans</w:t>
      </w:r>
      <w:r w:rsidR="00122D54" w:rsidRPr="004F166E">
        <w:rPr>
          <w:rFonts w:ascii="Arial" w:hAnsi="Arial" w:cs="Arial"/>
          <w:sz w:val="22"/>
          <w:szCs w:val="22"/>
        </w:rPr>
        <w:t>.</w:t>
      </w:r>
    </w:p>
    <w:p w14:paraId="144978B0" w14:textId="77777777" w:rsidR="00F24BBF" w:rsidRPr="004F166E" w:rsidRDefault="00F24BBF">
      <w:pPr>
        <w:jc w:val="both"/>
        <w:rPr>
          <w:rFonts w:ascii="Arial" w:hAnsi="Arial" w:cs="Arial"/>
          <w:bCs/>
          <w:sz w:val="22"/>
          <w:szCs w:val="22"/>
        </w:rPr>
      </w:pPr>
    </w:p>
    <w:p w14:paraId="0833CC6F" w14:textId="016132F5" w:rsidR="00F24BBF" w:rsidRPr="004F166E" w:rsidRDefault="00F24BBF" w:rsidP="002C54B7">
      <w:pPr>
        <w:autoSpaceDE/>
        <w:autoSpaceDN/>
        <w:adjustRightInd/>
        <w:ind w:left="360" w:firstLine="360"/>
        <w:jc w:val="both"/>
        <w:rPr>
          <w:rFonts w:ascii="Arial" w:hAnsi="Arial" w:cs="Arial"/>
          <w:sz w:val="22"/>
          <w:szCs w:val="22"/>
        </w:rPr>
      </w:pPr>
      <w:r w:rsidRPr="004F166E">
        <w:rPr>
          <w:rFonts w:ascii="Arial" w:hAnsi="Arial" w:cs="Arial"/>
          <w:sz w:val="22"/>
          <w:szCs w:val="22"/>
        </w:rPr>
        <w:t>5.</w:t>
      </w:r>
      <w:r w:rsidRPr="004F166E">
        <w:rPr>
          <w:rFonts w:ascii="Arial" w:hAnsi="Arial" w:cs="Arial"/>
          <w:sz w:val="22"/>
          <w:szCs w:val="22"/>
        </w:rPr>
        <w:tab/>
        <w:t xml:space="preserve">Anchor Bolts.  </w:t>
      </w:r>
      <w:r w:rsidR="004F166E">
        <w:rPr>
          <w:rFonts w:ascii="Arial" w:hAnsi="Arial" w:cs="Arial"/>
          <w:sz w:val="22"/>
          <w:szCs w:val="22"/>
        </w:rPr>
        <w:t>Furnish</w:t>
      </w:r>
      <w:r w:rsidR="004F166E" w:rsidRPr="004F166E">
        <w:rPr>
          <w:rFonts w:ascii="Arial" w:hAnsi="Arial" w:cs="Arial"/>
          <w:sz w:val="22"/>
          <w:szCs w:val="22"/>
        </w:rPr>
        <w:t xml:space="preserve"> </w:t>
      </w:r>
      <w:r w:rsidRPr="004F166E">
        <w:rPr>
          <w:rFonts w:ascii="Arial" w:hAnsi="Arial" w:cs="Arial"/>
          <w:sz w:val="22"/>
          <w:szCs w:val="22"/>
        </w:rPr>
        <w:t xml:space="preserve">as </w:t>
      </w:r>
      <w:r w:rsidR="002054E2" w:rsidRPr="004F166E">
        <w:rPr>
          <w:rFonts w:ascii="Arial" w:hAnsi="Arial" w:cs="Arial"/>
          <w:sz w:val="22"/>
          <w:szCs w:val="22"/>
        </w:rPr>
        <w:t xml:space="preserve">shown </w:t>
      </w:r>
      <w:r w:rsidRPr="004F166E">
        <w:rPr>
          <w:rFonts w:ascii="Arial" w:hAnsi="Arial" w:cs="Arial"/>
          <w:sz w:val="22"/>
          <w:szCs w:val="22"/>
        </w:rPr>
        <w:t>on the plans.</w:t>
      </w:r>
    </w:p>
    <w:p w14:paraId="4D15755D" w14:textId="09D6630A" w:rsidR="00223365" w:rsidRPr="004F166E" w:rsidRDefault="00223365">
      <w:pPr>
        <w:jc w:val="both"/>
        <w:rPr>
          <w:rFonts w:ascii="Arial" w:hAnsi="Arial" w:cs="Arial"/>
          <w:bCs/>
          <w:sz w:val="22"/>
          <w:szCs w:val="22"/>
        </w:rPr>
      </w:pPr>
    </w:p>
    <w:p w14:paraId="60432646" w14:textId="2DAC7437" w:rsidR="00223365" w:rsidRPr="006218DB" w:rsidRDefault="0022336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b/>
          <w:bCs/>
          <w:sz w:val="22"/>
          <w:szCs w:val="22"/>
        </w:rPr>
        <w:t>c.</w:t>
      </w:r>
      <w:r w:rsidRPr="006218DB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Pr="006218DB">
        <w:rPr>
          <w:rFonts w:ascii="Arial" w:hAnsi="Arial" w:cs="Arial"/>
          <w:bCs/>
          <w:sz w:val="22"/>
          <w:szCs w:val="22"/>
        </w:rPr>
        <w:t xml:space="preserve">  </w:t>
      </w:r>
      <w:r w:rsidR="007E3825" w:rsidRPr="006218DB">
        <w:rPr>
          <w:rFonts w:ascii="Arial" w:hAnsi="Arial" w:cs="Arial"/>
          <w:sz w:val="22"/>
          <w:szCs w:val="22"/>
        </w:rPr>
        <w:t xml:space="preserve">Install light assemblies as </w:t>
      </w:r>
      <w:r w:rsidR="002054E2" w:rsidRPr="006218DB">
        <w:rPr>
          <w:rFonts w:ascii="Arial" w:hAnsi="Arial" w:cs="Arial"/>
          <w:sz w:val="22"/>
          <w:szCs w:val="22"/>
        </w:rPr>
        <w:t xml:space="preserve">shown </w:t>
      </w:r>
      <w:r w:rsidR="007E3825" w:rsidRPr="006218DB">
        <w:rPr>
          <w:rFonts w:ascii="Arial" w:hAnsi="Arial" w:cs="Arial"/>
          <w:sz w:val="22"/>
          <w:szCs w:val="22"/>
        </w:rPr>
        <w:t xml:space="preserve">on the plans.  </w:t>
      </w:r>
      <w:r w:rsidR="00453FC1" w:rsidRPr="006218DB">
        <w:rPr>
          <w:rFonts w:ascii="Arial" w:hAnsi="Arial" w:cs="Arial"/>
          <w:sz w:val="22"/>
          <w:szCs w:val="22"/>
        </w:rPr>
        <w:t>Ensure t</w:t>
      </w:r>
      <w:r w:rsidRPr="006218DB">
        <w:rPr>
          <w:rFonts w:ascii="Arial" w:hAnsi="Arial" w:cs="Arial"/>
          <w:bCs/>
          <w:sz w:val="22"/>
          <w:szCs w:val="22"/>
        </w:rPr>
        <w:t>he light standard</w:t>
      </w:r>
      <w:r w:rsidR="000F0519" w:rsidRPr="006218DB">
        <w:rPr>
          <w:rFonts w:ascii="Arial" w:hAnsi="Arial" w:cs="Arial"/>
          <w:bCs/>
          <w:sz w:val="22"/>
          <w:szCs w:val="22"/>
        </w:rPr>
        <w:t>, with arm and luminaire,</w:t>
      </w:r>
      <w:r w:rsidR="002D595A" w:rsidRPr="006218DB">
        <w:rPr>
          <w:rFonts w:ascii="Arial" w:hAnsi="Arial" w:cs="Arial"/>
          <w:bCs/>
          <w:sz w:val="22"/>
          <w:szCs w:val="22"/>
        </w:rPr>
        <w:t xml:space="preserve"> </w:t>
      </w:r>
      <w:r w:rsidR="00453FC1" w:rsidRPr="006218DB">
        <w:rPr>
          <w:rFonts w:ascii="Arial" w:hAnsi="Arial" w:cs="Arial"/>
          <w:bCs/>
          <w:sz w:val="22"/>
          <w:szCs w:val="22"/>
        </w:rPr>
        <w:t>is</w:t>
      </w:r>
      <w:r w:rsidRPr="006218DB">
        <w:rPr>
          <w:rFonts w:ascii="Arial" w:hAnsi="Arial" w:cs="Arial"/>
          <w:bCs/>
          <w:sz w:val="22"/>
          <w:szCs w:val="22"/>
        </w:rPr>
        <w:t xml:space="preserve"> installed on the foundation or barrier per the manufacturer’s recommendation and all electrical connections meet the </w:t>
      </w:r>
      <w:r w:rsidRPr="006218DB">
        <w:rPr>
          <w:rFonts w:ascii="Arial" w:hAnsi="Arial" w:cs="Arial"/>
          <w:bCs/>
          <w:i/>
          <w:iCs/>
          <w:sz w:val="22"/>
          <w:szCs w:val="22"/>
        </w:rPr>
        <w:t>NEC</w:t>
      </w:r>
      <w:r w:rsidRPr="006218DB">
        <w:rPr>
          <w:rFonts w:ascii="Arial" w:hAnsi="Arial" w:cs="Arial"/>
          <w:bCs/>
          <w:sz w:val="22"/>
          <w:szCs w:val="22"/>
        </w:rPr>
        <w:t xml:space="preserve"> requirements and any applicable local electrical codes.</w:t>
      </w:r>
    </w:p>
    <w:p w14:paraId="17DA9039" w14:textId="43876EA1" w:rsidR="00223365" w:rsidRPr="006218DB" w:rsidRDefault="00223365">
      <w:pPr>
        <w:jc w:val="both"/>
        <w:rPr>
          <w:rFonts w:ascii="Arial" w:hAnsi="Arial" w:cs="Arial"/>
          <w:bCs/>
          <w:sz w:val="22"/>
          <w:szCs w:val="22"/>
        </w:rPr>
      </w:pPr>
    </w:p>
    <w:p w14:paraId="36DB9886" w14:textId="5131D00B" w:rsidR="00223365" w:rsidRPr="006218DB" w:rsidRDefault="0022336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b/>
          <w:sz w:val="22"/>
          <w:szCs w:val="22"/>
        </w:rPr>
        <w:t>d.</w:t>
      </w:r>
      <w:r w:rsidRPr="006218DB">
        <w:rPr>
          <w:rFonts w:ascii="Arial" w:hAnsi="Arial" w:cs="Arial"/>
          <w:b/>
          <w:sz w:val="22"/>
          <w:szCs w:val="22"/>
        </w:rPr>
        <w:tab/>
        <w:t>Measurement and Payment.</w:t>
      </w:r>
      <w:r w:rsidRPr="006218DB">
        <w:rPr>
          <w:rFonts w:ascii="Arial" w:hAnsi="Arial" w:cs="Arial"/>
          <w:sz w:val="22"/>
          <w:szCs w:val="22"/>
        </w:rPr>
        <w:t xml:space="preserve">  The completed work, as described, will be measured and paid for at the contract unit price </w:t>
      </w:r>
      <w:r w:rsidR="000E0F5B" w:rsidRPr="006218DB">
        <w:rPr>
          <w:rFonts w:ascii="Arial" w:hAnsi="Arial" w:cs="Arial"/>
          <w:sz w:val="22"/>
          <w:szCs w:val="22"/>
        </w:rPr>
        <w:t>for the following pay items</w:t>
      </w:r>
      <w:r w:rsidR="00F36CC3" w:rsidRPr="006218DB">
        <w:rPr>
          <w:rFonts w:ascii="Arial" w:hAnsi="Arial" w:cs="Arial"/>
          <w:sz w:val="22"/>
          <w:szCs w:val="22"/>
        </w:rPr>
        <w:t>:</w:t>
      </w:r>
    </w:p>
    <w:p w14:paraId="217720E7" w14:textId="77777777" w:rsidR="00223365" w:rsidRPr="006218DB" w:rsidRDefault="00223365">
      <w:pPr>
        <w:jc w:val="both"/>
        <w:rPr>
          <w:rFonts w:ascii="Arial" w:hAnsi="Arial" w:cs="Arial"/>
          <w:bCs/>
          <w:sz w:val="22"/>
          <w:szCs w:val="22"/>
        </w:rPr>
      </w:pPr>
    </w:p>
    <w:p w14:paraId="1B6BF681" w14:textId="64926AEE" w:rsidR="00223365" w:rsidRPr="006218DB" w:rsidRDefault="00223365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b/>
          <w:bCs/>
          <w:sz w:val="22"/>
          <w:szCs w:val="22"/>
        </w:rPr>
        <w:t>Pay Item</w:t>
      </w:r>
      <w:r w:rsidRPr="006218DB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2A1E853E" w14:textId="77777777" w:rsidR="00F36CC3" w:rsidRPr="006218DB" w:rsidRDefault="00F36CC3">
      <w:pPr>
        <w:jc w:val="both"/>
        <w:rPr>
          <w:rFonts w:ascii="Arial" w:hAnsi="Arial" w:cs="Arial"/>
          <w:sz w:val="22"/>
          <w:szCs w:val="22"/>
        </w:rPr>
      </w:pPr>
    </w:p>
    <w:p w14:paraId="17DC6525" w14:textId="49F7DF3E" w:rsidR="00223365" w:rsidRPr="006218DB" w:rsidRDefault="00BA053D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sz w:val="22"/>
          <w:szCs w:val="22"/>
        </w:rPr>
        <w:t>Light Std Shaft</w:t>
      </w:r>
      <w:r w:rsidR="006E57C8" w:rsidRPr="006218DB">
        <w:rPr>
          <w:rFonts w:ascii="Arial" w:hAnsi="Arial" w:cs="Arial"/>
          <w:sz w:val="22"/>
          <w:szCs w:val="22"/>
        </w:rPr>
        <w:t>, 30 foot or less</w:t>
      </w:r>
      <w:r w:rsidR="002054E2" w:rsidRPr="006218DB">
        <w:rPr>
          <w:rFonts w:ascii="Arial" w:hAnsi="Arial" w:cs="Arial"/>
          <w:sz w:val="22"/>
          <w:szCs w:val="22"/>
        </w:rPr>
        <w:t>,</w:t>
      </w:r>
      <w:r w:rsidR="006E57C8" w:rsidRPr="006218DB">
        <w:rPr>
          <w:rFonts w:ascii="Arial" w:hAnsi="Arial" w:cs="Arial"/>
          <w:sz w:val="22"/>
          <w:szCs w:val="22"/>
        </w:rPr>
        <w:t xml:space="preserve"> Public Lighting Authority</w:t>
      </w:r>
      <w:r w:rsidR="00223365" w:rsidRPr="006218DB">
        <w:rPr>
          <w:rFonts w:ascii="Arial" w:hAnsi="Arial" w:cs="Arial"/>
          <w:sz w:val="22"/>
          <w:szCs w:val="22"/>
        </w:rPr>
        <w:tab/>
        <w:t>Each</w:t>
      </w:r>
    </w:p>
    <w:p w14:paraId="138FD84D" w14:textId="49C2727E" w:rsidR="00C841CC" w:rsidRPr="006218DB" w:rsidRDefault="006E57C8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sz w:val="22"/>
          <w:szCs w:val="22"/>
        </w:rPr>
        <w:t xml:space="preserve">Light Std Arm, </w:t>
      </w:r>
      <w:r w:rsidR="005E1CAF" w:rsidRPr="006218DB">
        <w:rPr>
          <w:rFonts w:ascii="Arial" w:hAnsi="Arial" w:cs="Arial"/>
          <w:sz w:val="22"/>
          <w:szCs w:val="22"/>
        </w:rPr>
        <w:t>Install Salv</w:t>
      </w:r>
      <w:r w:rsidR="00027AEB" w:rsidRPr="006218DB">
        <w:rPr>
          <w:rFonts w:ascii="Arial" w:hAnsi="Arial" w:cs="Arial"/>
          <w:sz w:val="22"/>
          <w:szCs w:val="22"/>
        </w:rPr>
        <w:t xml:space="preserve">, </w:t>
      </w:r>
      <w:r w:rsidRPr="006218DB">
        <w:rPr>
          <w:rFonts w:ascii="Arial" w:hAnsi="Arial" w:cs="Arial"/>
          <w:sz w:val="22"/>
          <w:szCs w:val="22"/>
        </w:rPr>
        <w:t>Public Lighting Authority</w:t>
      </w:r>
      <w:r w:rsidR="00C841CC" w:rsidRPr="006218DB">
        <w:rPr>
          <w:rFonts w:ascii="Arial" w:hAnsi="Arial" w:cs="Arial"/>
          <w:sz w:val="22"/>
          <w:szCs w:val="22"/>
        </w:rPr>
        <w:tab/>
        <w:t>Each</w:t>
      </w:r>
    </w:p>
    <w:p w14:paraId="1AA0F569" w14:textId="1D875EC2" w:rsidR="00006E7A" w:rsidRPr="006218DB" w:rsidRDefault="00C841CC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218DB">
        <w:rPr>
          <w:rFonts w:ascii="Arial" w:hAnsi="Arial" w:cs="Arial"/>
          <w:sz w:val="22"/>
          <w:szCs w:val="22"/>
        </w:rPr>
        <w:t>Luminaire</w:t>
      </w:r>
      <w:r w:rsidR="002054E2" w:rsidRPr="006218DB">
        <w:rPr>
          <w:rFonts w:ascii="Arial" w:hAnsi="Arial" w:cs="Arial"/>
          <w:sz w:val="22"/>
          <w:szCs w:val="22"/>
        </w:rPr>
        <w:t>,</w:t>
      </w:r>
      <w:r w:rsidR="00027AEB" w:rsidRPr="006218DB">
        <w:rPr>
          <w:rFonts w:ascii="Arial" w:hAnsi="Arial" w:cs="Arial"/>
          <w:sz w:val="22"/>
          <w:szCs w:val="22"/>
        </w:rPr>
        <w:t xml:space="preserve"> Install Salv,</w:t>
      </w:r>
      <w:r w:rsidRPr="006218DB">
        <w:rPr>
          <w:rFonts w:ascii="Arial" w:hAnsi="Arial" w:cs="Arial"/>
          <w:sz w:val="22"/>
          <w:szCs w:val="22"/>
        </w:rPr>
        <w:t xml:space="preserve"> </w:t>
      </w:r>
      <w:r w:rsidR="006E57C8" w:rsidRPr="006218DB">
        <w:rPr>
          <w:rFonts w:ascii="Arial" w:hAnsi="Arial" w:cs="Arial"/>
          <w:sz w:val="22"/>
          <w:szCs w:val="22"/>
        </w:rPr>
        <w:t>Public Lighting Authority</w:t>
      </w:r>
      <w:r w:rsidRPr="006218DB">
        <w:rPr>
          <w:rFonts w:ascii="Arial" w:hAnsi="Arial" w:cs="Arial"/>
          <w:sz w:val="22"/>
          <w:szCs w:val="22"/>
        </w:rPr>
        <w:tab/>
        <w:t>Each</w:t>
      </w:r>
    </w:p>
    <w:sectPr w:rsidR="00006E7A" w:rsidRPr="006218DB" w:rsidSect="002054E2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DBE54" w14:textId="77777777" w:rsidR="00543815" w:rsidRDefault="00543815" w:rsidP="003B3415">
      <w:r>
        <w:separator/>
      </w:r>
    </w:p>
  </w:endnote>
  <w:endnote w:type="continuationSeparator" w:id="0">
    <w:p w14:paraId="628B00F0" w14:textId="77777777" w:rsidR="00543815" w:rsidRDefault="00543815" w:rsidP="003B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40034" w14:textId="77777777" w:rsidR="00543815" w:rsidRDefault="00543815" w:rsidP="003B3415">
      <w:r>
        <w:separator/>
      </w:r>
    </w:p>
  </w:footnote>
  <w:footnote w:type="continuationSeparator" w:id="0">
    <w:p w14:paraId="1D95B53C" w14:textId="77777777" w:rsidR="00543815" w:rsidRDefault="00543815" w:rsidP="003B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E5356" w14:textId="017123F9" w:rsidR="00455AD6" w:rsidRPr="00F538FD" w:rsidRDefault="00A8588C" w:rsidP="00F538FD">
    <w:pPr>
      <w:pStyle w:val="Header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XXX</w:t>
    </w:r>
    <w:r w:rsidR="00455AD6" w:rsidRPr="00F538FD">
      <w:rPr>
        <w:rFonts w:ascii="Arial" w:hAnsi="Arial" w:cs="Arial"/>
        <w:sz w:val="24"/>
        <w:szCs w:val="24"/>
      </w:rPr>
      <w:t>:</w:t>
    </w:r>
    <w:r>
      <w:rPr>
        <w:rFonts w:ascii="Arial" w:hAnsi="Arial" w:cs="Arial"/>
        <w:sz w:val="24"/>
        <w:szCs w:val="24"/>
      </w:rPr>
      <w:t>XXX</w:t>
    </w:r>
    <w:r w:rsidR="00455AD6" w:rsidRPr="00F538FD">
      <w:rPr>
        <w:rFonts w:ascii="Arial" w:hAnsi="Arial" w:cs="Arial"/>
        <w:sz w:val="24"/>
        <w:szCs w:val="24"/>
      </w:rPr>
      <w:tab/>
    </w:r>
    <w:r w:rsidR="00223365">
      <w:rPr>
        <w:rFonts w:ascii="Arial" w:hAnsi="Arial" w:cs="Arial"/>
        <w:sz w:val="24"/>
        <w:szCs w:val="24"/>
      </w:rPr>
      <w:t>2 of 2</w:t>
    </w:r>
    <w:r>
      <w:rPr>
        <w:rFonts w:ascii="Arial" w:hAnsi="Arial" w:cs="Arial"/>
        <w:sz w:val="24"/>
        <w:szCs w:val="24"/>
      </w:rPr>
      <w:tab/>
      <w:t>XX</w:t>
    </w:r>
    <w:r w:rsidR="00455AD6" w:rsidRPr="00F538FD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XX</w:t>
    </w:r>
    <w:r w:rsidR="00455AD6" w:rsidRPr="00F538FD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C459C" w14:textId="4C4767D6" w:rsidR="003B3415" w:rsidRPr="00E01406" w:rsidRDefault="002054E2" w:rsidP="00E01406">
    <w:pPr>
      <w:jc w:val="right"/>
      <w:rPr>
        <w:rFonts w:ascii="Arial" w:hAnsi="Arial" w:cs="Arial"/>
      </w:rPr>
    </w:pPr>
    <w:r>
      <w:rPr>
        <w:rFonts w:ascii="Arial" w:hAnsi="Arial" w:cs="Arial"/>
      </w:rPr>
      <w:t>20MU819(</w:t>
    </w:r>
    <w:r w:rsidR="000C38DB">
      <w:rPr>
        <w:rFonts w:ascii="Arial" w:hAnsi="Arial" w:cs="Arial"/>
      </w:rPr>
      <w:t>B375</w:t>
    </w:r>
    <w:r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B33B2"/>
    <w:multiLevelType w:val="hybridMultilevel"/>
    <w:tmpl w:val="0DA861AA"/>
    <w:lvl w:ilvl="0" w:tplc="1408E6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547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15"/>
    <w:rsid w:val="00003A04"/>
    <w:rsid w:val="00006E7A"/>
    <w:rsid w:val="000148FE"/>
    <w:rsid w:val="00027AEB"/>
    <w:rsid w:val="00040671"/>
    <w:rsid w:val="00045E06"/>
    <w:rsid w:val="00046E8F"/>
    <w:rsid w:val="00056E14"/>
    <w:rsid w:val="000931E8"/>
    <w:rsid w:val="000B31AF"/>
    <w:rsid w:val="000C12DB"/>
    <w:rsid w:val="000C38DB"/>
    <w:rsid w:val="000C67E5"/>
    <w:rsid w:val="000C6F62"/>
    <w:rsid w:val="000E0DD7"/>
    <w:rsid w:val="000E0F5B"/>
    <w:rsid w:val="000F0519"/>
    <w:rsid w:val="0012178D"/>
    <w:rsid w:val="00122D54"/>
    <w:rsid w:val="0018343B"/>
    <w:rsid w:val="001B44DA"/>
    <w:rsid w:val="001C048B"/>
    <w:rsid w:val="001D6F72"/>
    <w:rsid w:val="002048D3"/>
    <w:rsid w:val="0020538F"/>
    <w:rsid w:val="002054E2"/>
    <w:rsid w:val="00223365"/>
    <w:rsid w:val="002406EC"/>
    <w:rsid w:val="002421FA"/>
    <w:rsid w:val="00252BD7"/>
    <w:rsid w:val="00253818"/>
    <w:rsid w:val="00275DED"/>
    <w:rsid w:val="0028331B"/>
    <w:rsid w:val="002A2F0D"/>
    <w:rsid w:val="002B4A09"/>
    <w:rsid w:val="002C54B7"/>
    <w:rsid w:val="002C7ADE"/>
    <w:rsid w:val="002C7C0A"/>
    <w:rsid w:val="002D595A"/>
    <w:rsid w:val="002F5A59"/>
    <w:rsid w:val="002F7EAA"/>
    <w:rsid w:val="0031037C"/>
    <w:rsid w:val="00324252"/>
    <w:rsid w:val="00346BB5"/>
    <w:rsid w:val="00355BEA"/>
    <w:rsid w:val="00355CDE"/>
    <w:rsid w:val="003633E4"/>
    <w:rsid w:val="00370934"/>
    <w:rsid w:val="00396B49"/>
    <w:rsid w:val="003A0391"/>
    <w:rsid w:val="003A3180"/>
    <w:rsid w:val="003B2AEA"/>
    <w:rsid w:val="003B3415"/>
    <w:rsid w:val="00401822"/>
    <w:rsid w:val="004111CA"/>
    <w:rsid w:val="004371AE"/>
    <w:rsid w:val="004449C7"/>
    <w:rsid w:val="00453FC1"/>
    <w:rsid w:val="00455AD6"/>
    <w:rsid w:val="00465694"/>
    <w:rsid w:val="00472852"/>
    <w:rsid w:val="00473922"/>
    <w:rsid w:val="0048782E"/>
    <w:rsid w:val="00491D50"/>
    <w:rsid w:val="004D3600"/>
    <w:rsid w:val="004D537A"/>
    <w:rsid w:val="004F166E"/>
    <w:rsid w:val="00531D97"/>
    <w:rsid w:val="00534847"/>
    <w:rsid w:val="0053726C"/>
    <w:rsid w:val="00543815"/>
    <w:rsid w:val="00565CE8"/>
    <w:rsid w:val="00572F11"/>
    <w:rsid w:val="005A6CD3"/>
    <w:rsid w:val="005C0209"/>
    <w:rsid w:val="005E1CAF"/>
    <w:rsid w:val="00604FBA"/>
    <w:rsid w:val="00607BA8"/>
    <w:rsid w:val="0061130D"/>
    <w:rsid w:val="0061453A"/>
    <w:rsid w:val="00614F2F"/>
    <w:rsid w:val="006218DB"/>
    <w:rsid w:val="00622A03"/>
    <w:rsid w:val="00630008"/>
    <w:rsid w:val="0064401E"/>
    <w:rsid w:val="006547BF"/>
    <w:rsid w:val="00685301"/>
    <w:rsid w:val="00697F25"/>
    <w:rsid w:val="006A4EC2"/>
    <w:rsid w:val="006B00EB"/>
    <w:rsid w:val="006B053D"/>
    <w:rsid w:val="006E57C8"/>
    <w:rsid w:val="00713214"/>
    <w:rsid w:val="00723B0F"/>
    <w:rsid w:val="00743584"/>
    <w:rsid w:val="00745703"/>
    <w:rsid w:val="0074645F"/>
    <w:rsid w:val="0075176F"/>
    <w:rsid w:val="00776486"/>
    <w:rsid w:val="00790671"/>
    <w:rsid w:val="00795644"/>
    <w:rsid w:val="007D7BD5"/>
    <w:rsid w:val="007E2D83"/>
    <w:rsid w:val="007E3825"/>
    <w:rsid w:val="00801C95"/>
    <w:rsid w:val="00826C94"/>
    <w:rsid w:val="00833C21"/>
    <w:rsid w:val="00847BAF"/>
    <w:rsid w:val="008567BD"/>
    <w:rsid w:val="0089751C"/>
    <w:rsid w:val="00911846"/>
    <w:rsid w:val="00946A06"/>
    <w:rsid w:val="00952681"/>
    <w:rsid w:val="00997A6F"/>
    <w:rsid w:val="009B7B4A"/>
    <w:rsid w:val="009C64D9"/>
    <w:rsid w:val="00A0549A"/>
    <w:rsid w:val="00A42C16"/>
    <w:rsid w:val="00A63CA3"/>
    <w:rsid w:val="00A76765"/>
    <w:rsid w:val="00A8588C"/>
    <w:rsid w:val="00A93C05"/>
    <w:rsid w:val="00AA0702"/>
    <w:rsid w:val="00AA21B9"/>
    <w:rsid w:val="00AB6A34"/>
    <w:rsid w:val="00AD2DA2"/>
    <w:rsid w:val="00AE0A46"/>
    <w:rsid w:val="00AE7AC2"/>
    <w:rsid w:val="00B14776"/>
    <w:rsid w:val="00B155B9"/>
    <w:rsid w:val="00B333AA"/>
    <w:rsid w:val="00B50C7F"/>
    <w:rsid w:val="00B732AC"/>
    <w:rsid w:val="00B73E3A"/>
    <w:rsid w:val="00B94765"/>
    <w:rsid w:val="00BA053D"/>
    <w:rsid w:val="00BD012A"/>
    <w:rsid w:val="00BD1C0D"/>
    <w:rsid w:val="00BD225A"/>
    <w:rsid w:val="00BF5B45"/>
    <w:rsid w:val="00C07DB5"/>
    <w:rsid w:val="00C32688"/>
    <w:rsid w:val="00C70539"/>
    <w:rsid w:val="00C81786"/>
    <w:rsid w:val="00C841CC"/>
    <w:rsid w:val="00C8635B"/>
    <w:rsid w:val="00CB4314"/>
    <w:rsid w:val="00CC0CD4"/>
    <w:rsid w:val="00CC3981"/>
    <w:rsid w:val="00CD0B65"/>
    <w:rsid w:val="00CD388A"/>
    <w:rsid w:val="00CD47EC"/>
    <w:rsid w:val="00CD4EFE"/>
    <w:rsid w:val="00CD5926"/>
    <w:rsid w:val="00D037A6"/>
    <w:rsid w:val="00D04003"/>
    <w:rsid w:val="00D4191B"/>
    <w:rsid w:val="00D41F38"/>
    <w:rsid w:val="00D476FE"/>
    <w:rsid w:val="00D575B4"/>
    <w:rsid w:val="00D651DD"/>
    <w:rsid w:val="00DA7F35"/>
    <w:rsid w:val="00DB01EE"/>
    <w:rsid w:val="00DC2A7D"/>
    <w:rsid w:val="00E01406"/>
    <w:rsid w:val="00E20CB8"/>
    <w:rsid w:val="00E659A9"/>
    <w:rsid w:val="00E942B1"/>
    <w:rsid w:val="00EA176C"/>
    <w:rsid w:val="00EB3037"/>
    <w:rsid w:val="00EB54F3"/>
    <w:rsid w:val="00EC3BFF"/>
    <w:rsid w:val="00ED3DE8"/>
    <w:rsid w:val="00ED61C8"/>
    <w:rsid w:val="00EE4A31"/>
    <w:rsid w:val="00F24BBF"/>
    <w:rsid w:val="00F36CC3"/>
    <w:rsid w:val="00F474DF"/>
    <w:rsid w:val="00F5375F"/>
    <w:rsid w:val="00F538FD"/>
    <w:rsid w:val="00FB3934"/>
    <w:rsid w:val="00FC2538"/>
    <w:rsid w:val="00FF2B91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E9C8F"/>
  <w15:chartTrackingRefBased/>
  <w15:docId w15:val="{C1D65FA7-270D-4D9D-B4AC-AB6ECD1B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41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B3415"/>
  </w:style>
  <w:style w:type="paragraph" w:styleId="Footer">
    <w:name w:val="footer"/>
    <w:basedOn w:val="Normal"/>
    <w:link w:val="FooterChar"/>
    <w:uiPriority w:val="99"/>
    <w:unhideWhenUsed/>
    <w:rsid w:val="003B341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B3415"/>
  </w:style>
  <w:style w:type="paragraph" w:styleId="NoSpacing">
    <w:name w:val="No Spacing"/>
    <w:uiPriority w:val="1"/>
    <w:qFormat/>
    <w:rsid w:val="003B34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0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7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0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4DA"/>
    <w:rPr>
      <w:color w:val="0000FF"/>
      <w:u w:val="single"/>
    </w:rPr>
  </w:style>
  <w:style w:type="paragraph" w:styleId="Revision">
    <w:name w:val="Revision"/>
    <w:hidden/>
    <w:uiPriority w:val="99"/>
    <w:semiHidden/>
    <w:rsid w:val="0005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3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48FD-38B6-410A-8345-33DB6A15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Bergmann Associates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Block, Andrew</dc:creator>
  <cp:keywords/>
  <dc:description/>
  <cp:lastModifiedBy>Pawelec, David B. (MDOT)</cp:lastModifiedBy>
  <cp:revision>15</cp:revision>
  <cp:lastPrinted>2019-03-22T17:22:00Z</cp:lastPrinted>
  <dcterms:created xsi:type="dcterms:W3CDTF">2024-08-08T11:39:00Z</dcterms:created>
  <dcterms:modified xsi:type="dcterms:W3CDTF">2024-09-23T11:48:00Z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BaratonoB@michigan.gov</vt:lpwstr>
  </property>
  <property fmtid="{D5CDD505-2E9C-101B-9397-08002B2CF9AE}" pid="5" name="MSIP_Label_3a2fed65-62e7-46ea-af74-187e0c17143a_SetDate">
    <vt:lpwstr>2020-03-11T14:20:22.1477892Z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278061bd-e78d-4d66-8a88-bf345433c9be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