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A91A" w14:textId="5A6D3F46" w:rsidR="00924A1C" w:rsidRPr="000D2D10" w:rsidRDefault="00924A1C" w:rsidP="001B092A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0D2D10">
        <w:rPr>
          <w:rFonts w:ascii="Arial" w:hAnsi="Arial" w:cs="Arial"/>
          <w:sz w:val="24"/>
          <w:szCs w:val="24"/>
        </w:rPr>
        <w:t>MICHIGAN</w:t>
      </w:r>
      <w:r w:rsidR="001B092A">
        <w:rPr>
          <w:rFonts w:ascii="Arial" w:hAnsi="Arial" w:cs="Arial"/>
          <w:sz w:val="24"/>
          <w:szCs w:val="24"/>
        </w:rPr>
        <w:br/>
      </w:r>
      <w:r w:rsidRPr="000D2D10">
        <w:rPr>
          <w:rFonts w:ascii="Arial" w:hAnsi="Arial" w:cs="Arial"/>
          <w:sz w:val="24"/>
          <w:szCs w:val="24"/>
        </w:rPr>
        <w:t>DEPARTMENT OF TRANSPORTATION</w:t>
      </w:r>
    </w:p>
    <w:p w14:paraId="14C0206C" w14:textId="40E0F98B" w:rsidR="00924A1C" w:rsidRPr="000D2D10" w:rsidRDefault="00924A1C" w:rsidP="001B09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D2D10">
        <w:rPr>
          <w:rFonts w:ascii="Arial" w:hAnsi="Arial" w:cs="Arial"/>
          <w:sz w:val="24"/>
          <w:szCs w:val="24"/>
        </w:rPr>
        <w:t>SPECIAL PROVISION</w:t>
      </w:r>
      <w:r w:rsidR="001B092A">
        <w:rPr>
          <w:rFonts w:ascii="Arial" w:hAnsi="Arial" w:cs="Arial"/>
          <w:sz w:val="24"/>
          <w:szCs w:val="24"/>
        </w:rPr>
        <w:br/>
      </w:r>
      <w:r w:rsidRPr="000D2D10">
        <w:rPr>
          <w:rFonts w:ascii="Arial" w:hAnsi="Arial" w:cs="Arial"/>
          <w:sz w:val="24"/>
          <w:szCs w:val="24"/>
        </w:rPr>
        <w:t>FOR</w:t>
      </w:r>
    </w:p>
    <w:p w14:paraId="29A891FF" w14:textId="3FB0B491" w:rsidR="00924A1C" w:rsidRPr="000D2D10" w:rsidRDefault="000B1273" w:rsidP="001B092A">
      <w:pPr>
        <w:pStyle w:val="Heading1"/>
        <w:rPr>
          <w:b w:val="0"/>
        </w:rPr>
      </w:pPr>
      <w:r w:rsidRPr="00223655">
        <w:t xml:space="preserve">PEDESTRIAN </w:t>
      </w:r>
      <w:r w:rsidR="00271525" w:rsidRPr="000D2D10">
        <w:t>STRUCTURES, TEMP</w:t>
      </w:r>
      <w:r w:rsidR="000D2D10">
        <w:t>ORARY</w:t>
      </w:r>
      <w:r w:rsidR="00271525" w:rsidRPr="000D2D10">
        <w:t>, SPECIAL</w:t>
      </w:r>
      <w:r w:rsidRPr="000D2D10">
        <w:t xml:space="preserve"> FOR JOB NUMBER 106621</w:t>
      </w:r>
    </w:p>
    <w:p w14:paraId="6789ED77" w14:textId="5B532CAD" w:rsidR="00924A1C" w:rsidRPr="004147E8" w:rsidRDefault="004D4EFE" w:rsidP="001B092A">
      <w:pPr>
        <w:widowControl w:val="0"/>
        <w:tabs>
          <w:tab w:val="center" w:pos="4680"/>
          <w:tab w:val="right" w:pos="9360"/>
        </w:tabs>
        <w:autoSpaceDE w:val="0"/>
        <w:autoSpaceDN w:val="0"/>
        <w:adjustRightInd w:val="0"/>
        <w:spacing w:before="240" w:after="120" w:line="240" w:lineRule="auto"/>
        <w:rPr>
          <w:rFonts w:ascii="Arial" w:hAnsi="Arial" w:cs="Arial"/>
          <w:sz w:val="24"/>
          <w:szCs w:val="24"/>
        </w:rPr>
      </w:pPr>
      <w:proofErr w:type="gramStart"/>
      <w:r w:rsidRPr="004147E8">
        <w:rPr>
          <w:rFonts w:ascii="Arial" w:hAnsi="Arial" w:cs="Arial"/>
          <w:sz w:val="24"/>
          <w:szCs w:val="24"/>
        </w:rPr>
        <w:t>BRG</w:t>
      </w:r>
      <w:r w:rsidR="00B65F86" w:rsidRPr="004147E8">
        <w:rPr>
          <w:rFonts w:ascii="Arial" w:hAnsi="Arial" w:cs="Arial"/>
          <w:sz w:val="24"/>
          <w:szCs w:val="24"/>
        </w:rPr>
        <w:t>:</w:t>
      </w:r>
      <w:r w:rsidRPr="004147E8">
        <w:rPr>
          <w:rFonts w:ascii="Arial" w:hAnsi="Arial" w:cs="Arial"/>
          <w:sz w:val="24"/>
          <w:szCs w:val="24"/>
        </w:rPr>
        <w:t>K</w:t>
      </w:r>
      <w:r w:rsidR="000D2D10">
        <w:rPr>
          <w:rFonts w:ascii="Arial" w:hAnsi="Arial" w:cs="Arial"/>
          <w:sz w:val="24"/>
          <w:szCs w:val="24"/>
        </w:rPr>
        <w:t>S</w:t>
      </w:r>
      <w:r w:rsidRPr="004147E8">
        <w:rPr>
          <w:rFonts w:ascii="Arial" w:hAnsi="Arial" w:cs="Arial"/>
          <w:sz w:val="24"/>
          <w:szCs w:val="24"/>
        </w:rPr>
        <w:t>F</w:t>
      </w:r>
      <w:proofErr w:type="gramEnd"/>
      <w:r w:rsidR="00EB67DD" w:rsidRPr="004147E8">
        <w:rPr>
          <w:rFonts w:ascii="Arial" w:hAnsi="Arial" w:cs="Arial"/>
          <w:sz w:val="24"/>
          <w:szCs w:val="24"/>
        </w:rPr>
        <w:tab/>
      </w:r>
      <w:r w:rsidR="000D2D10" w:rsidRPr="00B151F7">
        <w:rPr>
          <w:rFonts w:ascii="Arial" w:hAnsi="Arial" w:cs="Arial"/>
          <w:sz w:val="24"/>
          <w:szCs w:val="24"/>
        </w:rPr>
        <w:fldChar w:fldCharType="begin"/>
      </w:r>
      <w:r w:rsidR="000D2D10" w:rsidRPr="00B151F7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0D2D10" w:rsidRPr="00B151F7">
        <w:rPr>
          <w:rFonts w:ascii="Arial" w:hAnsi="Arial" w:cs="Arial"/>
          <w:sz w:val="24"/>
          <w:szCs w:val="24"/>
        </w:rPr>
        <w:fldChar w:fldCharType="separate"/>
      </w:r>
      <w:r w:rsidR="000D2D10" w:rsidRPr="00B151F7">
        <w:rPr>
          <w:rFonts w:ascii="Arial" w:hAnsi="Arial" w:cs="Arial"/>
          <w:noProof/>
          <w:sz w:val="24"/>
          <w:szCs w:val="24"/>
        </w:rPr>
        <w:t>1</w:t>
      </w:r>
      <w:r w:rsidR="000D2D10" w:rsidRPr="00B151F7">
        <w:rPr>
          <w:rFonts w:ascii="Arial" w:hAnsi="Arial" w:cs="Arial"/>
          <w:sz w:val="24"/>
          <w:szCs w:val="24"/>
        </w:rPr>
        <w:fldChar w:fldCharType="end"/>
      </w:r>
      <w:r w:rsidR="000D2D10" w:rsidRPr="000D2D10">
        <w:rPr>
          <w:rFonts w:ascii="Arial" w:hAnsi="Arial" w:cs="Arial"/>
          <w:sz w:val="24"/>
          <w:szCs w:val="24"/>
        </w:rPr>
        <w:t xml:space="preserve"> of </w:t>
      </w:r>
      <w:r w:rsidR="000D2D10" w:rsidRPr="00B151F7">
        <w:rPr>
          <w:rFonts w:ascii="Arial" w:hAnsi="Arial" w:cs="Arial"/>
          <w:sz w:val="24"/>
          <w:szCs w:val="24"/>
        </w:rPr>
        <w:fldChar w:fldCharType="begin"/>
      </w:r>
      <w:r w:rsidR="000D2D10" w:rsidRPr="00B151F7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0D2D10" w:rsidRPr="00B151F7">
        <w:rPr>
          <w:rFonts w:ascii="Arial" w:hAnsi="Arial" w:cs="Arial"/>
          <w:sz w:val="24"/>
          <w:szCs w:val="24"/>
        </w:rPr>
        <w:fldChar w:fldCharType="separate"/>
      </w:r>
      <w:r w:rsidR="000D2D10" w:rsidRPr="00B151F7">
        <w:rPr>
          <w:rFonts w:ascii="Arial" w:hAnsi="Arial" w:cs="Arial"/>
          <w:noProof/>
          <w:sz w:val="24"/>
          <w:szCs w:val="24"/>
        </w:rPr>
        <w:t>2</w:t>
      </w:r>
      <w:r w:rsidR="000D2D10" w:rsidRPr="00B151F7">
        <w:rPr>
          <w:rFonts w:ascii="Arial" w:hAnsi="Arial" w:cs="Arial"/>
          <w:sz w:val="24"/>
          <w:szCs w:val="24"/>
        </w:rPr>
        <w:fldChar w:fldCharType="end"/>
      </w:r>
      <w:r w:rsidR="00EB67DD" w:rsidRPr="004147E8">
        <w:rPr>
          <w:rFonts w:ascii="Arial" w:hAnsi="Arial" w:cs="Arial"/>
          <w:sz w:val="24"/>
          <w:szCs w:val="24"/>
        </w:rPr>
        <w:tab/>
      </w:r>
      <w:proofErr w:type="gramStart"/>
      <w:r w:rsidR="00EB67DD" w:rsidRPr="004147E8">
        <w:rPr>
          <w:rFonts w:ascii="Arial" w:hAnsi="Arial" w:cs="Arial"/>
          <w:sz w:val="24"/>
          <w:szCs w:val="24"/>
        </w:rPr>
        <w:t>APPR:</w:t>
      </w:r>
      <w:r w:rsidR="000A6C73" w:rsidRPr="004147E8">
        <w:rPr>
          <w:rFonts w:ascii="Arial" w:hAnsi="Arial" w:cs="Arial"/>
          <w:sz w:val="24"/>
          <w:szCs w:val="24"/>
        </w:rPr>
        <w:t>SCK</w:t>
      </w:r>
      <w:proofErr w:type="gramEnd"/>
      <w:r w:rsidR="00EB67DD" w:rsidRPr="004147E8">
        <w:rPr>
          <w:rFonts w:ascii="Arial" w:hAnsi="Arial" w:cs="Arial"/>
          <w:sz w:val="24"/>
          <w:szCs w:val="24"/>
        </w:rPr>
        <w:t>:</w:t>
      </w:r>
      <w:r w:rsidR="000A6C73" w:rsidRPr="004147E8">
        <w:rPr>
          <w:rFonts w:ascii="Arial" w:hAnsi="Arial" w:cs="Arial"/>
          <w:sz w:val="24"/>
          <w:szCs w:val="24"/>
        </w:rPr>
        <w:t>DMG</w:t>
      </w:r>
      <w:r w:rsidR="00B65F86" w:rsidRPr="004147E8">
        <w:rPr>
          <w:rFonts w:ascii="Arial" w:hAnsi="Arial" w:cs="Arial"/>
          <w:sz w:val="24"/>
          <w:szCs w:val="24"/>
        </w:rPr>
        <w:t>:</w:t>
      </w:r>
      <w:r w:rsidR="000A6C73" w:rsidRPr="004147E8">
        <w:rPr>
          <w:rFonts w:ascii="Arial" w:hAnsi="Arial" w:cs="Arial"/>
          <w:sz w:val="24"/>
          <w:szCs w:val="24"/>
        </w:rPr>
        <w:t>0</w:t>
      </w:r>
      <w:r w:rsidR="008F5072">
        <w:rPr>
          <w:rFonts w:ascii="Arial" w:hAnsi="Arial" w:cs="Arial"/>
          <w:sz w:val="24"/>
          <w:szCs w:val="24"/>
        </w:rPr>
        <w:t>1</w:t>
      </w:r>
      <w:r w:rsidR="000A6C73" w:rsidRPr="004147E8">
        <w:rPr>
          <w:rFonts w:ascii="Arial" w:hAnsi="Arial" w:cs="Arial"/>
          <w:sz w:val="24"/>
          <w:szCs w:val="24"/>
        </w:rPr>
        <w:t>-</w:t>
      </w:r>
      <w:r w:rsidR="008F5072">
        <w:rPr>
          <w:rFonts w:ascii="Arial" w:hAnsi="Arial" w:cs="Arial"/>
          <w:sz w:val="24"/>
          <w:szCs w:val="24"/>
        </w:rPr>
        <w:t>11</w:t>
      </w:r>
      <w:r w:rsidR="000A6C73" w:rsidRPr="004147E8">
        <w:rPr>
          <w:rFonts w:ascii="Arial" w:hAnsi="Arial" w:cs="Arial"/>
          <w:sz w:val="24"/>
          <w:szCs w:val="24"/>
        </w:rPr>
        <w:t>-2</w:t>
      </w:r>
      <w:r w:rsidR="000D2D10">
        <w:rPr>
          <w:rFonts w:ascii="Arial" w:hAnsi="Arial" w:cs="Arial"/>
          <w:sz w:val="24"/>
          <w:szCs w:val="24"/>
        </w:rPr>
        <w:t>4</w:t>
      </w:r>
    </w:p>
    <w:p w14:paraId="7969DE8E" w14:textId="20E5DC50" w:rsidR="00924A1C" w:rsidRPr="004147E8" w:rsidRDefault="00924A1C" w:rsidP="001B092A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a.</w:t>
      </w:r>
      <w:r w:rsidR="00E86EE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Description</w:t>
      </w:r>
      <w:r w:rsidR="00E86EEF" w:rsidRPr="004147E8">
        <w:rPr>
          <w:rFonts w:ascii="Arial" w:hAnsi="Arial" w:cs="Arial"/>
          <w:b/>
          <w:bCs/>
        </w:rPr>
        <w:t>.</w:t>
      </w:r>
      <w:r w:rsidR="00E86EEF" w:rsidRPr="004147E8">
        <w:rPr>
          <w:rFonts w:ascii="Arial" w:hAnsi="Arial" w:cs="Arial"/>
          <w:bCs/>
        </w:rPr>
        <w:t xml:space="preserve">  </w:t>
      </w:r>
      <w:r w:rsidR="00EB67DD" w:rsidRPr="004147E8">
        <w:rPr>
          <w:rFonts w:ascii="Arial" w:hAnsi="Arial" w:cs="Arial"/>
        </w:rPr>
        <w:t xml:space="preserve">This work consists of </w:t>
      </w:r>
      <w:r w:rsidR="00097F52" w:rsidRPr="004147E8">
        <w:rPr>
          <w:rFonts w:ascii="Arial" w:hAnsi="Arial" w:cs="Arial"/>
        </w:rPr>
        <w:t xml:space="preserve">designing, </w:t>
      </w:r>
      <w:r w:rsidR="00EB67DD" w:rsidRPr="004147E8">
        <w:rPr>
          <w:rFonts w:ascii="Arial" w:hAnsi="Arial" w:cs="Arial"/>
        </w:rPr>
        <w:t>constructing</w:t>
      </w:r>
      <w:r w:rsidR="00097F52" w:rsidRPr="004147E8">
        <w:rPr>
          <w:rFonts w:ascii="Arial" w:hAnsi="Arial" w:cs="Arial"/>
        </w:rPr>
        <w:t>, maintaining, removing</w:t>
      </w:r>
      <w:r w:rsidR="000D2D10">
        <w:rPr>
          <w:rFonts w:ascii="Arial" w:hAnsi="Arial" w:cs="Arial"/>
        </w:rPr>
        <w:t>,</w:t>
      </w:r>
      <w:r w:rsidR="00097F52" w:rsidRPr="004147E8">
        <w:rPr>
          <w:rFonts w:ascii="Arial" w:hAnsi="Arial" w:cs="Arial"/>
        </w:rPr>
        <w:t xml:space="preserve"> and disposing of</w:t>
      </w:r>
      <w:r w:rsidR="00EB67DD" w:rsidRPr="004147E8">
        <w:rPr>
          <w:rFonts w:ascii="Arial" w:hAnsi="Arial" w:cs="Arial"/>
        </w:rPr>
        <w:t xml:space="preserve"> a temporary pedestrian bridge </w:t>
      </w:r>
      <w:r w:rsidR="000A724F" w:rsidRPr="004147E8">
        <w:rPr>
          <w:rFonts w:ascii="Arial" w:hAnsi="Arial" w:cs="Arial"/>
        </w:rPr>
        <w:t xml:space="preserve">and foundation support system </w:t>
      </w:r>
      <w:r w:rsidR="00EB67DD" w:rsidRPr="004147E8">
        <w:rPr>
          <w:rFonts w:ascii="Arial" w:hAnsi="Arial" w:cs="Arial"/>
        </w:rPr>
        <w:t>in accordance with section 714 of the Standard Specifications for Construction, the plans and this special provision.</w:t>
      </w:r>
    </w:p>
    <w:p w14:paraId="2C92CBAE" w14:textId="2D41BF62" w:rsidR="00CF0714" w:rsidRPr="004147E8" w:rsidRDefault="00EB67DD" w:rsidP="001B092A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hAnsi="Arial" w:cs="Arial"/>
        </w:rPr>
      </w:pPr>
      <w:proofErr w:type="spellStart"/>
      <w:r w:rsidRPr="004147E8">
        <w:rPr>
          <w:rFonts w:ascii="Arial" w:hAnsi="Arial" w:cs="Arial"/>
          <w:b/>
        </w:rPr>
        <w:t>b.</w:t>
      </w:r>
      <w:proofErr w:type="spellEnd"/>
      <w:r w:rsidRPr="004147E8">
        <w:rPr>
          <w:rFonts w:ascii="Arial" w:hAnsi="Arial" w:cs="Arial"/>
          <w:b/>
        </w:rPr>
        <w:tab/>
        <w:t>Materials.</w:t>
      </w:r>
      <w:r w:rsidRPr="004147E8">
        <w:rPr>
          <w:rFonts w:ascii="Arial" w:hAnsi="Arial" w:cs="Arial"/>
        </w:rPr>
        <w:t xml:space="preserve">  None </w:t>
      </w:r>
      <w:r w:rsidR="000D2D10">
        <w:rPr>
          <w:rFonts w:ascii="Arial" w:hAnsi="Arial" w:cs="Arial"/>
        </w:rPr>
        <w:t>s</w:t>
      </w:r>
      <w:r w:rsidR="000D2D10" w:rsidRPr="004147E8">
        <w:rPr>
          <w:rFonts w:ascii="Arial" w:hAnsi="Arial" w:cs="Arial"/>
        </w:rPr>
        <w:t>pecified</w:t>
      </w:r>
      <w:r w:rsidRPr="004147E8">
        <w:rPr>
          <w:rFonts w:ascii="Arial" w:hAnsi="Arial" w:cs="Arial"/>
        </w:rPr>
        <w:t>.</w:t>
      </w:r>
    </w:p>
    <w:p w14:paraId="112B5B4C" w14:textId="4E57CFAB" w:rsidR="00924A1C" w:rsidRPr="004147E8" w:rsidRDefault="00924A1C" w:rsidP="001B092A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c.</w:t>
      </w:r>
      <w:r w:rsidR="00E86EE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Construction.</w:t>
      </w:r>
      <w:r w:rsidR="00E86EEF" w:rsidRPr="004147E8">
        <w:rPr>
          <w:rFonts w:ascii="Arial" w:hAnsi="Arial" w:cs="Arial"/>
          <w:bCs/>
        </w:rPr>
        <w:t xml:space="preserve">  </w:t>
      </w:r>
      <w:r w:rsidR="00EB67DD" w:rsidRPr="004147E8">
        <w:rPr>
          <w:rFonts w:ascii="Arial" w:hAnsi="Arial" w:cs="Arial"/>
        </w:rPr>
        <w:t xml:space="preserve">Unless directed otherwise by the Engineer, construction of the temporary pedestrian bridge must be </w:t>
      </w:r>
      <w:r w:rsidR="00A665A3" w:rsidRPr="004147E8">
        <w:rPr>
          <w:rFonts w:ascii="Arial" w:hAnsi="Arial" w:cs="Arial"/>
        </w:rPr>
        <w:t xml:space="preserve">in </w:t>
      </w:r>
      <w:r w:rsidR="00EB67DD" w:rsidRPr="004147E8">
        <w:rPr>
          <w:rFonts w:ascii="Arial" w:hAnsi="Arial" w:cs="Arial"/>
        </w:rPr>
        <w:t>accord</w:t>
      </w:r>
      <w:r w:rsidR="00A665A3" w:rsidRPr="004147E8">
        <w:rPr>
          <w:rFonts w:ascii="Arial" w:hAnsi="Arial" w:cs="Arial"/>
        </w:rPr>
        <w:t>ance with</w:t>
      </w:r>
      <w:r w:rsidR="00EB67DD" w:rsidRPr="004147E8">
        <w:rPr>
          <w:rFonts w:ascii="Arial" w:hAnsi="Arial" w:cs="Arial"/>
        </w:rPr>
        <w:t xml:space="preserve"> the plans and </w:t>
      </w:r>
      <w:r w:rsidR="00BA0F2A" w:rsidRPr="004147E8">
        <w:rPr>
          <w:rFonts w:ascii="Arial" w:hAnsi="Arial" w:cs="Arial"/>
        </w:rPr>
        <w:t>sub</w:t>
      </w:r>
      <w:r w:rsidR="00EB67DD" w:rsidRPr="004147E8">
        <w:rPr>
          <w:rFonts w:ascii="Arial" w:hAnsi="Arial" w:cs="Arial"/>
        </w:rPr>
        <w:t>section 714</w:t>
      </w:r>
      <w:r w:rsidR="00BA0F2A" w:rsidRPr="004147E8">
        <w:rPr>
          <w:rFonts w:ascii="Arial" w:hAnsi="Arial" w:cs="Arial"/>
        </w:rPr>
        <w:t>.03</w:t>
      </w:r>
      <w:r w:rsidR="00EB67DD" w:rsidRPr="004147E8">
        <w:rPr>
          <w:rFonts w:ascii="Arial" w:hAnsi="Arial" w:cs="Arial"/>
        </w:rPr>
        <w:t xml:space="preserve"> of the Standard Specification for Construction</w:t>
      </w:r>
      <w:r w:rsidR="00A665A3" w:rsidRPr="004147E8">
        <w:rPr>
          <w:rFonts w:ascii="Arial" w:hAnsi="Arial" w:cs="Arial"/>
        </w:rPr>
        <w:t>,</w:t>
      </w:r>
      <w:r w:rsidR="00EB67DD" w:rsidRPr="004147E8">
        <w:rPr>
          <w:rFonts w:ascii="Arial" w:hAnsi="Arial" w:cs="Arial"/>
        </w:rPr>
        <w:t xml:space="preserve"> except as specified in this </w:t>
      </w:r>
      <w:r w:rsidR="00A665A3" w:rsidRPr="004147E8">
        <w:rPr>
          <w:rFonts w:ascii="Arial" w:hAnsi="Arial" w:cs="Arial"/>
        </w:rPr>
        <w:t>special provision</w:t>
      </w:r>
      <w:r w:rsidR="00EB67DD" w:rsidRPr="004147E8">
        <w:rPr>
          <w:rFonts w:ascii="Arial" w:hAnsi="Arial" w:cs="Arial"/>
        </w:rPr>
        <w:t>.</w:t>
      </w:r>
    </w:p>
    <w:p w14:paraId="6A5C95AD" w14:textId="19C6AE63" w:rsidR="00492C46" w:rsidRPr="004147E8" w:rsidRDefault="00492C46" w:rsidP="001B092A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</w:rPr>
      </w:pPr>
      <w:r w:rsidRPr="004147E8">
        <w:rPr>
          <w:rFonts w:ascii="Arial" w:hAnsi="Arial" w:cs="Arial"/>
        </w:rPr>
        <w:t xml:space="preserve">Use of the temporary pedestrian bridge is required during construction of the </w:t>
      </w:r>
      <w:r w:rsidR="002C2E02" w:rsidRPr="004147E8">
        <w:rPr>
          <w:rFonts w:ascii="Arial" w:hAnsi="Arial" w:cs="Arial"/>
        </w:rPr>
        <w:t xml:space="preserve">Edward </w:t>
      </w:r>
      <w:r w:rsidR="00937C1B" w:rsidRPr="004147E8">
        <w:rPr>
          <w:rFonts w:ascii="Arial" w:hAnsi="Arial" w:cs="Arial"/>
        </w:rPr>
        <w:t>Hines Drive</w:t>
      </w:r>
      <w:r w:rsidRPr="004147E8">
        <w:rPr>
          <w:rFonts w:ascii="Arial" w:hAnsi="Arial" w:cs="Arial"/>
        </w:rPr>
        <w:t xml:space="preserve"> over </w:t>
      </w:r>
      <w:r w:rsidR="00937C1B" w:rsidRPr="004147E8">
        <w:rPr>
          <w:rFonts w:ascii="Arial" w:hAnsi="Arial" w:cs="Arial"/>
        </w:rPr>
        <w:t>O</w:t>
      </w:r>
      <w:r w:rsidR="002C2E02" w:rsidRPr="004147E8">
        <w:rPr>
          <w:rFonts w:ascii="Arial" w:hAnsi="Arial" w:cs="Arial"/>
        </w:rPr>
        <w:t>ld</w:t>
      </w:r>
      <w:r w:rsidR="00937C1B" w:rsidRPr="004147E8">
        <w:rPr>
          <w:rFonts w:ascii="Arial" w:hAnsi="Arial" w:cs="Arial"/>
        </w:rPr>
        <w:t xml:space="preserve"> M-14</w:t>
      </w:r>
      <w:r w:rsidRPr="004147E8">
        <w:rPr>
          <w:rFonts w:ascii="Arial" w:hAnsi="Arial" w:cs="Arial"/>
        </w:rPr>
        <w:t xml:space="preserve"> </w:t>
      </w:r>
      <w:r w:rsidR="002C2E02" w:rsidRPr="004147E8">
        <w:rPr>
          <w:rFonts w:ascii="Arial" w:hAnsi="Arial" w:cs="Arial"/>
        </w:rPr>
        <w:t xml:space="preserve">(Ann Arbor Road) </w:t>
      </w:r>
      <w:r w:rsidRPr="004147E8">
        <w:rPr>
          <w:rFonts w:ascii="Arial" w:hAnsi="Arial" w:cs="Arial"/>
        </w:rPr>
        <w:t>vehicular bridge.</w:t>
      </w:r>
    </w:p>
    <w:p w14:paraId="45806C80" w14:textId="39C61D20" w:rsidR="00271525" w:rsidRPr="00B151F7" w:rsidRDefault="00EB67DD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  <w:i/>
          <w:iCs/>
        </w:rPr>
      </w:pPr>
      <w:r w:rsidRPr="004147E8">
        <w:rPr>
          <w:rFonts w:ascii="Arial" w:hAnsi="Arial" w:cs="Arial"/>
        </w:rPr>
        <w:t>1.</w:t>
      </w:r>
      <w:r w:rsidRPr="004147E8">
        <w:rPr>
          <w:rFonts w:ascii="Arial" w:hAnsi="Arial" w:cs="Arial"/>
        </w:rPr>
        <w:tab/>
        <w:t xml:space="preserve">Design the temporary pedestrian bridge to carry live loading in the amount of </w:t>
      </w:r>
      <w:r w:rsidR="00DE78AB" w:rsidRPr="004147E8">
        <w:rPr>
          <w:rFonts w:ascii="Arial" w:hAnsi="Arial" w:cs="Arial"/>
        </w:rPr>
        <w:t xml:space="preserve">90 </w:t>
      </w:r>
      <w:proofErr w:type="spellStart"/>
      <w:r w:rsidRPr="004147E8">
        <w:rPr>
          <w:rFonts w:ascii="Arial" w:hAnsi="Arial" w:cs="Arial"/>
        </w:rPr>
        <w:t>psf</w:t>
      </w:r>
      <w:proofErr w:type="spellEnd"/>
      <w:r w:rsidRPr="004147E8">
        <w:rPr>
          <w:rFonts w:ascii="Arial" w:hAnsi="Arial" w:cs="Arial"/>
        </w:rPr>
        <w:t xml:space="preserve"> over the entire structure and in accordance with the current </w:t>
      </w:r>
      <w:r w:rsidRPr="00B151F7">
        <w:rPr>
          <w:rFonts w:ascii="Arial" w:hAnsi="Arial" w:cs="Arial"/>
          <w:i/>
          <w:iCs/>
        </w:rPr>
        <w:t>AASHTO LRFD Bridge Design Specifications</w:t>
      </w:r>
      <w:r w:rsidR="00097F52" w:rsidRPr="004147E8">
        <w:rPr>
          <w:rFonts w:ascii="Arial" w:hAnsi="Arial" w:cs="Arial"/>
        </w:rPr>
        <w:t xml:space="preserve"> and </w:t>
      </w:r>
      <w:r w:rsidR="00097F52" w:rsidRPr="00B151F7">
        <w:rPr>
          <w:rFonts w:ascii="Arial" w:hAnsi="Arial" w:cs="Arial"/>
          <w:i/>
          <w:iCs/>
        </w:rPr>
        <w:t>AASHTO LRFD Guide Specifications for the Design of Pedestrian Bridges</w:t>
      </w:r>
      <w:r w:rsidRPr="00B151F7">
        <w:rPr>
          <w:rFonts w:ascii="Arial" w:hAnsi="Arial" w:cs="Arial"/>
          <w:i/>
          <w:iCs/>
        </w:rPr>
        <w:t>.</w:t>
      </w:r>
    </w:p>
    <w:p w14:paraId="2CAB8D36" w14:textId="0058294C" w:rsidR="00271525" w:rsidRPr="004147E8" w:rsidRDefault="00EB67DD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</w:rPr>
      </w:pPr>
      <w:r w:rsidRPr="004147E8">
        <w:rPr>
          <w:rFonts w:ascii="Arial" w:hAnsi="Arial" w:cs="Arial"/>
        </w:rPr>
        <w:t>2.</w:t>
      </w:r>
      <w:r w:rsidRPr="004147E8">
        <w:rPr>
          <w:rFonts w:ascii="Arial" w:hAnsi="Arial" w:cs="Arial"/>
        </w:rPr>
        <w:tab/>
      </w:r>
      <w:r w:rsidR="000D2D10">
        <w:rPr>
          <w:rFonts w:ascii="Arial" w:hAnsi="Arial" w:cs="Arial"/>
        </w:rPr>
        <w:t>Furnish</w:t>
      </w:r>
      <w:r w:rsidR="000D2D10" w:rsidRPr="004147E8">
        <w:rPr>
          <w:rFonts w:ascii="Arial" w:hAnsi="Arial" w:cs="Arial"/>
        </w:rPr>
        <w:t xml:space="preserve"> </w:t>
      </w:r>
      <w:r w:rsidRPr="004147E8">
        <w:rPr>
          <w:rFonts w:ascii="Arial" w:hAnsi="Arial" w:cs="Arial"/>
        </w:rPr>
        <w:t xml:space="preserve">a minimum </w:t>
      </w:r>
      <w:r w:rsidR="00937C1B" w:rsidRPr="004147E8">
        <w:rPr>
          <w:rFonts w:ascii="Arial" w:hAnsi="Arial" w:cs="Arial"/>
        </w:rPr>
        <w:t>14</w:t>
      </w:r>
      <w:r w:rsidRPr="004147E8">
        <w:rPr>
          <w:rFonts w:ascii="Arial" w:hAnsi="Arial" w:cs="Arial"/>
        </w:rPr>
        <w:t>-foot clear width; measured between inside faces of pedestrian railing at right angles to the temporary bridge crossing.</w:t>
      </w:r>
    </w:p>
    <w:p w14:paraId="761D4C48" w14:textId="513505D3" w:rsidR="00004012" w:rsidRPr="00B151F7" w:rsidRDefault="00EB67DD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  <w:i/>
          <w:iCs/>
        </w:rPr>
      </w:pPr>
      <w:r w:rsidRPr="004147E8">
        <w:rPr>
          <w:rFonts w:ascii="Arial" w:hAnsi="Arial" w:cs="Arial"/>
        </w:rPr>
        <w:t>3.</w:t>
      </w:r>
      <w:r w:rsidRPr="004147E8">
        <w:rPr>
          <w:rFonts w:ascii="Arial" w:hAnsi="Arial" w:cs="Arial"/>
        </w:rPr>
        <w:tab/>
        <w:t xml:space="preserve">Design pedestrian railing and connections to the temporary pedestrian bridge </w:t>
      </w:r>
      <w:r w:rsidR="000D2D10">
        <w:rPr>
          <w:rFonts w:ascii="Arial" w:hAnsi="Arial" w:cs="Arial"/>
        </w:rPr>
        <w:t xml:space="preserve">in </w:t>
      </w:r>
      <w:r w:rsidRPr="004147E8">
        <w:rPr>
          <w:rFonts w:ascii="Arial" w:hAnsi="Arial" w:cs="Arial"/>
        </w:rPr>
        <w:t>accord</w:t>
      </w:r>
      <w:r w:rsidR="000D2D10">
        <w:rPr>
          <w:rFonts w:ascii="Arial" w:hAnsi="Arial" w:cs="Arial"/>
        </w:rPr>
        <w:t xml:space="preserve">ance with </w:t>
      </w:r>
      <w:r w:rsidRPr="004147E8">
        <w:rPr>
          <w:rFonts w:ascii="Arial" w:hAnsi="Arial" w:cs="Arial"/>
        </w:rPr>
        <w:t xml:space="preserve">the </w:t>
      </w:r>
      <w:r w:rsidRPr="00B151F7">
        <w:rPr>
          <w:rFonts w:ascii="Arial" w:hAnsi="Arial" w:cs="Arial"/>
          <w:i/>
          <w:iCs/>
        </w:rPr>
        <w:t>AASHTO LRFD Bridge Design Specifications</w:t>
      </w:r>
      <w:r w:rsidR="00097F52" w:rsidRPr="004147E8">
        <w:rPr>
          <w:rFonts w:ascii="Arial" w:hAnsi="Arial" w:cs="Arial"/>
        </w:rPr>
        <w:t xml:space="preserve"> and </w:t>
      </w:r>
      <w:r w:rsidR="00097F52" w:rsidRPr="00B151F7">
        <w:rPr>
          <w:rFonts w:ascii="Arial" w:hAnsi="Arial" w:cs="Arial"/>
          <w:i/>
          <w:iCs/>
        </w:rPr>
        <w:t>AASHTO LRFD Guide Specifications for the Design of Pedestrian Bridges</w:t>
      </w:r>
      <w:r w:rsidRPr="00B151F7">
        <w:rPr>
          <w:rFonts w:ascii="Arial" w:hAnsi="Arial" w:cs="Arial"/>
          <w:i/>
          <w:iCs/>
        </w:rPr>
        <w:t>.</w:t>
      </w:r>
    </w:p>
    <w:p w14:paraId="0C8CEC89" w14:textId="681F5A6E" w:rsidR="00004012" w:rsidRPr="004147E8" w:rsidRDefault="00EB67DD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</w:rPr>
      </w:pPr>
      <w:r w:rsidRPr="004147E8">
        <w:rPr>
          <w:rFonts w:ascii="Arial" w:hAnsi="Arial" w:cs="Arial"/>
        </w:rPr>
        <w:t>4.</w:t>
      </w:r>
      <w:r w:rsidRPr="004147E8">
        <w:rPr>
          <w:rFonts w:ascii="Arial" w:hAnsi="Arial" w:cs="Arial"/>
        </w:rPr>
        <w:tab/>
      </w:r>
      <w:r w:rsidR="000D2D10">
        <w:rPr>
          <w:rFonts w:ascii="Arial" w:hAnsi="Arial" w:cs="Arial"/>
        </w:rPr>
        <w:t>Furnish</w:t>
      </w:r>
      <w:r w:rsidR="000D2D10" w:rsidRPr="004147E8">
        <w:rPr>
          <w:rFonts w:ascii="Arial" w:hAnsi="Arial" w:cs="Arial"/>
        </w:rPr>
        <w:t xml:space="preserve"> </w:t>
      </w:r>
      <w:r w:rsidRPr="004147E8">
        <w:rPr>
          <w:rFonts w:ascii="Arial" w:hAnsi="Arial" w:cs="Arial"/>
        </w:rPr>
        <w:t>a surface on the temporary pedestrian bridge and from the temporary pedestrian bridge to the temporary approaches that meets the requirements of the ADA.</w:t>
      </w:r>
    </w:p>
    <w:p w14:paraId="5D956004" w14:textId="77777777" w:rsidR="00004012" w:rsidRPr="004147E8" w:rsidRDefault="00EB67DD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</w:rPr>
      </w:pPr>
      <w:r w:rsidRPr="004147E8">
        <w:rPr>
          <w:rFonts w:ascii="Arial" w:hAnsi="Arial" w:cs="Arial"/>
        </w:rPr>
        <w:t>5.</w:t>
      </w:r>
      <w:r w:rsidRPr="004147E8">
        <w:rPr>
          <w:rFonts w:ascii="Arial" w:hAnsi="Arial" w:cs="Arial"/>
        </w:rPr>
        <w:tab/>
        <w:t xml:space="preserve">The bridge </w:t>
      </w:r>
      <w:r w:rsidR="003A6561" w:rsidRPr="004147E8">
        <w:rPr>
          <w:rFonts w:ascii="Arial" w:hAnsi="Arial" w:cs="Arial"/>
        </w:rPr>
        <w:t>must</w:t>
      </w:r>
      <w:r w:rsidRPr="004147E8">
        <w:rPr>
          <w:rFonts w:ascii="Arial" w:hAnsi="Arial" w:cs="Arial"/>
        </w:rPr>
        <w:t xml:space="preserve"> not encroach below the proposed low chord of the new vehicular bridges being constructed as part of this project.</w:t>
      </w:r>
    </w:p>
    <w:p w14:paraId="506053FA" w14:textId="77777777" w:rsidR="00924A1C" w:rsidRPr="004147E8" w:rsidRDefault="00EB67DD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</w:rPr>
      </w:pPr>
      <w:r w:rsidRPr="004147E8">
        <w:rPr>
          <w:rFonts w:ascii="Arial" w:hAnsi="Arial" w:cs="Arial"/>
        </w:rPr>
        <w:t>6.</w:t>
      </w:r>
      <w:r w:rsidRPr="004147E8">
        <w:rPr>
          <w:rFonts w:ascii="Arial" w:hAnsi="Arial" w:cs="Arial"/>
        </w:rPr>
        <w:tab/>
        <w:t xml:space="preserve">Live load deflection on the bridge </w:t>
      </w:r>
      <w:r w:rsidR="003A6561" w:rsidRPr="004147E8">
        <w:rPr>
          <w:rFonts w:ascii="Arial" w:hAnsi="Arial" w:cs="Arial"/>
        </w:rPr>
        <w:t>must</w:t>
      </w:r>
      <w:r w:rsidRPr="004147E8">
        <w:rPr>
          <w:rFonts w:ascii="Arial" w:hAnsi="Arial" w:cs="Arial"/>
        </w:rPr>
        <w:t xml:space="preserve"> not exceed 1/1000 of the span length.</w:t>
      </w:r>
    </w:p>
    <w:p w14:paraId="1C60271C" w14:textId="15DD12D1" w:rsidR="0030401D" w:rsidRPr="004147E8" w:rsidRDefault="00DE78AB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</w:rPr>
      </w:pPr>
      <w:r w:rsidRPr="004147E8">
        <w:rPr>
          <w:rFonts w:ascii="Arial" w:hAnsi="Arial" w:cs="Arial"/>
        </w:rPr>
        <w:t>7.</w:t>
      </w:r>
      <w:r w:rsidRPr="004147E8">
        <w:rPr>
          <w:rFonts w:ascii="Arial" w:hAnsi="Arial" w:cs="Arial"/>
        </w:rPr>
        <w:tab/>
      </w:r>
      <w:r w:rsidR="000D2D10">
        <w:rPr>
          <w:rFonts w:ascii="Arial" w:hAnsi="Arial" w:cs="Arial"/>
        </w:rPr>
        <w:t>Furnish</w:t>
      </w:r>
      <w:r w:rsidR="000D2D10" w:rsidRPr="004147E8">
        <w:rPr>
          <w:rFonts w:ascii="Arial" w:hAnsi="Arial" w:cs="Arial"/>
        </w:rPr>
        <w:t xml:space="preserve"> </w:t>
      </w:r>
      <w:r w:rsidRPr="004147E8">
        <w:rPr>
          <w:rFonts w:ascii="Arial" w:hAnsi="Arial" w:cs="Arial"/>
        </w:rPr>
        <w:t>a foundation support system which will not adversely impact existing utilities to remain (both overhead and underground)</w:t>
      </w:r>
      <w:r w:rsidR="000B1273" w:rsidRPr="004147E8">
        <w:rPr>
          <w:rFonts w:ascii="Arial" w:hAnsi="Arial" w:cs="Arial"/>
        </w:rPr>
        <w:t>, and the existing and proposed structures</w:t>
      </w:r>
      <w:r w:rsidRPr="004147E8">
        <w:rPr>
          <w:rFonts w:ascii="Arial" w:hAnsi="Arial" w:cs="Arial"/>
        </w:rPr>
        <w:t>.</w:t>
      </w:r>
    </w:p>
    <w:p w14:paraId="51091109" w14:textId="77777777" w:rsidR="00924A1C" w:rsidRPr="004147E8" w:rsidRDefault="00924A1C" w:rsidP="001B092A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d.</w:t>
      </w:r>
      <w:r w:rsidR="00E86EE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Measurement and Payment.</w:t>
      </w:r>
      <w:r w:rsidR="00C80E2A" w:rsidRPr="004147E8">
        <w:rPr>
          <w:rFonts w:ascii="Arial" w:hAnsi="Arial" w:cs="Arial"/>
          <w:bCs/>
        </w:rPr>
        <w:t xml:space="preserve">  </w:t>
      </w:r>
      <w:r w:rsidR="00637CC1" w:rsidRPr="004147E8">
        <w:rPr>
          <w:rFonts w:ascii="Arial" w:hAnsi="Arial" w:cs="Arial"/>
        </w:rPr>
        <w:t>The completed work</w:t>
      </w:r>
      <w:r w:rsidR="00A665A3" w:rsidRPr="004147E8">
        <w:rPr>
          <w:rFonts w:ascii="Arial" w:hAnsi="Arial" w:cs="Arial"/>
        </w:rPr>
        <w:t>,</w:t>
      </w:r>
      <w:r w:rsidR="00637CC1" w:rsidRPr="004147E8">
        <w:rPr>
          <w:rFonts w:ascii="Arial" w:hAnsi="Arial" w:cs="Arial"/>
        </w:rPr>
        <w:t xml:space="preserve"> as described</w:t>
      </w:r>
      <w:r w:rsidR="00A665A3" w:rsidRPr="004147E8">
        <w:rPr>
          <w:rFonts w:ascii="Arial" w:hAnsi="Arial" w:cs="Arial"/>
        </w:rPr>
        <w:t>,</w:t>
      </w:r>
      <w:r w:rsidR="00637CC1" w:rsidRPr="004147E8">
        <w:rPr>
          <w:rFonts w:ascii="Arial" w:hAnsi="Arial" w:cs="Arial"/>
        </w:rPr>
        <w:t xml:space="preserve"> will be measured as a lump sum and paid for at the contract price using the following pay items</w:t>
      </w:r>
      <w:r w:rsidR="00EB67DD" w:rsidRPr="004147E8">
        <w:rPr>
          <w:rFonts w:ascii="Arial" w:hAnsi="Arial" w:cs="Arial"/>
        </w:rPr>
        <w:t>:</w:t>
      </w:r>
    </w:p>
    <w:p w14:paraId="0AFB4969" w14:textId="77777777" w:rsidR="00CF0714" w:rsidRPr="00B151F7" w:rsidRDefault="00924A1C" w:rsidP="001B092A">
      <w:pPr>
        <w:widowControl w:val="0"/>
        <w:tabs>
          <w:tab w:val="right" w:pos="9360"/>
        </w:tabs>
        <w:autoSpaceDE w:val="0"/>
        <w:autoSpaceDN w:val="0"/>
        <w:adjustRightInd w:val="0"/>
        <w:spacing w:before="120" w:after="120" w:line="240" w:lineRule="auto"/>
        <w:ind w:left="720"/>
        <w:rPr>
          <w:rFonts w:ascii="Arial" w:hAnsi="Arial" w:cs="Arial"/>
        </w:rPr>
      </w:pPr>
      <w:r w:rsidRPr="004147E8">
        <w:rPr>
          <w:rFonts w:ascii="Arial" w:hAnsi="Arial" w:cs="Arial"/>
          <w:b/>
          <w:bCs/>
        </w:rPr>
        <w:t>Pay Item</w:t>
      </w:r>
      <w:r w:rsidR="009B768F" w:rsidRPr="004147E8">
        <w:rPr>
          <w:rFonts w:ascii="Arial" w:hAnsi="Arial" w:cs="Arial"/>
          <w:b/>
          <w:bCs/>
        </w:rPr>
        <w:tab/>
      </w:r>
      <w:r w:rsidRPr="004147E8">
        <w:rPr>
          <w:rFonts w:ascii="Arial" w:hAnsi="Arial" w:cs="Arial"/>
          <w:b/>
          <w:bCs/>
        </w:rPr>
        <w:t>Pay Unit</w:t>
      </w:r>
    </w:p>
    <w:p w14:paraId="45E2836E" w14:textId="4E66D34E" w:rsidR="00CF0714" w:rsidRPr="004147E8" w:rsidRDefault="00EB67DD" w:rsidP="001B092A">
      <w:pPr>
        <w:widowControl w:val="0"/>
        <w:tabs>
          <w:tab w:val="right" w:leader="dot" w:pos="9360"/>
        </w:tabs>
        <w:autoSpaceDE w:val="0"/>
        <w:autoSpaceDN w:val="0"/>
        <w:adjustRightInd w:val="0"/>
        <w:spacing w:before="120" w:after="0" w:line="240" w:lineRule="auto"/>
        <w:ind w:left="720"/>
        <w:rPr>
          <w:rFonts w:ascii="Arial" w:hAnsi="Arial" w:cs="Arial"/>
        </w:rPr>
      </w:pPr>
      <w:r w:rsidRPr="004147E8">
        <w:rPr>
          <w:rFonts w:ascii="Arial" w:hAnsi="Arial" w:cs="Arial"/>
        </w:rPr>
        <w:t>Structures, Temp, Spec</w:t>
      </w:r>
      <w:r w:rsidRPr="004147E8">
        <w:rPr>
          <w:rFonts w:ascii="Arial" w:hAnsi="Arial" w:cs="Arial"/>
        </w:rPr>
        <w:tab/>
        <w:t>Lump Sum</w:t>
      </w:r>
    </w:p>
    <w:p w14:paraId="1DD8DCB1" w14:textId="333E98B5" w:rsidR="00CF0714" w:rsidRPr="004147E8" w:rsidRDefault="00EB67DD" w:rsidP="001B092A">
      <w:pPr>
        <w:widowControl w:val="0"/>
        <w:tabs>
          <w:tab w:val="right" w:leader="dot" w:pos="9360"/>
        </w:tabs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</w:rPr>
      </w:pPr>
      <w:r w:rsidRPr="004147E8">
        <w:rPr>
          <w:rFonts w:ascii="Arial" w:hAnsi="Arial" w:cs="Arial"/>
        </w:rPr>
        <w:lastRenderedPageBreak/>
        <w:t>Structures, Temp, Spec</w:t>
      </w:r>
      <w:r w:rsidR="00AE790A" w:rsidRPr="004147E8">
        <w:rPr>
          <w:rFonts w:ascii="Arial" w:hAnsi="Arial" w:cs="Arial"/>
        </w:rPr>
        <w:t>, Rem</w:t>
      </w:r>
      <w:r w:rsidRPr="004147E8">
        <w:rPr>
          <w:rFonts w:ascii="Arial" w:hAnsi="Arial" w:cs="Arial"/>
        </w:rPr>
        <w:tab/>
        <w:t>Lump Sum</w:t>
      </w:r>
    </w:p>
    <w:p w14:paraId="7CC9E456" w14:textId="30951CD2" w:rsidR="00A665A3" w:rsidRPr="004147E8" w:rsidRDefault="00A665A3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  <w:bCs/>
        </w:rPr>
      </w:pPr>
      <w:r w:rsidRPr="004147E8">
        <w:rPr>
          <w:rFonts w:ascii="Arial" w:hAnsi="Arial" w:cs="Arial"/>
          <w:bCs/>
        </w:rPr>
        <w:t>1.</w:t>
      </w:r>
      <w:r w:rsidRPr="004147E8">
        <w:rPr>
          <w:rFonts w:ascii="Arial" w:hAnsi="Arial" w:cs="Arial"/>
          <w:bCs/>
        </w:rPr>
        <w:tab/>
      </w:r>
      <w:r w:rsidR="00637CC1" w:rsidRPr="004147E8">
        <w:rPr>
          <w:rFonts w:ascii="Arial" w:hAnsi="Arial" w:cs="Arial"/>
          <w:b/>
          <w:bCs/>
        </w:rPr>
        <w:t>Structures, Temp, Spec</w:t>
      </w:r>
      <w:r w:rsidR="00E86EEF" w:rsidRPr="004147E8">
        <w:rPr>
          <w:rFonts w:ascii="Arial" w:hAnsi="Arial" w:cs="Arial"/>
          <w:bCs/>
        </w:rPr>
        <w:t xml:space="preserve"> </w:t>
      </w:r>
      <w:r w:rsidR="00637CC1" w:rsidRPr="004147E8">
        <w:rPr>
          <w:rFonts w:ascii="Arial" w:hAnsi="Arial" w:cs="Arial"/>
          <w:bCs/>
        </w:rPr>
        <w:t xml:space="preserve">includes payment for design, furnishing, installing, </w:t>
      </w:r>
      <w:r w:rsidR="00BA0F2A" w:rsidRPr="004147E8">
        <w:rPr>
          <w:rFonts w:ascii="Arial" w:hAnsi="Arial" w:cs="Arial"/>
          <w:bCs/>
        </w:rPr>
        <w:t xml:space="preserve">and </w:t>
      </w:r>
      <w:r w:rsidR="00637CC1" w:rsidRPr="004147E8">
        <w:rPr>
          <w:rFonts w:ascii="Arial" w:hAnsi="Arial" w:cs="Arial"/>
          <w:bCs/>
        </w:rPr>
        <w:t>maintaining the temporary pedestrian structure</w:t>
      </w:r>
      <w:r w:rsidR="000A724F" w:rsidRPr="004147E8">
        <w:rPr>
          <w:rFonts w:ascii="Arial" w:hAnsi="Arial" w:cs="Arial"/>
          <w:bCs/>
        </w:rPr>
        <w:t xml:space="preserve"> and foundation</w:t>
      </w:r>
      <w:r w:rsidR="00637CC1" w:rsidRPr="004147E8">
        <w:rPr>
          <w:rFonts w:ascii="Arial" w:hAnsi="Arial" w:cs="Arial"/>
          <w:bCs/>
        </w:rPr>
        <w:t>.</w:t>
      </w:r>
    </w:p>
    <w:p w14:paraId="55F6A14E" w14:textId="3BFF6641" w:rsidR="000B1273" w:rsidRPr="004147E8" w:rsidRDefault="00A665A3" w:rsidP="001B092A">
      <w:pPr>
        <w:widowControl w:val="0"/>
        <w:autoSpaceDE w:val="0"/>
        <w:autoSpaceDN w:val="0"/>
        <w:adjustRightInd w:val="0"/>
        <w:spacing w:before="120" w:after="120" w:line="240" w:lineRule="auto"/>
        <w:ind w:left="360" w:firstLine="360"/>
        <w:rPr>
          <w:rFonts w:ascii="Arial" w:hAnsi="Arial" w:cs="Arial"/>
          <w:bCs/>
        </w:rPr>
      </w:pPr>
      <w:r w:rsidRPr="004147E8">
        <w:rPr>
          <w:rFonts w:ascii="Arial" w:hAnsi="Arial" w:cs="Arial"/>
          <w:bCs/>
        </w:rPr>
        <w:t>2.</w:t>
      </w:r>
      <w:r w:rsidRPr="004147E8">
        <w:rPr>
          <w:rFonts w:ascii="Arial" w:hAnsi="Arial" w:cs="Arial"/>
          <w:bCs/>
        </w:rPr>
        <w:tab/>
      </w:r>
      <w:r w:rsidR="00BA0F2A" w:rsidRPr="004147E8">
        <w:rPr>
          <w:rFonts w:ascii="Arial" w:hAnsi="Arial" w:cs="Arial"/>
          <w:b/>
          <w:bCs/>
        </w:rPr>
        <w:t>Structure</w:t>
      </w:r>
      <w:r w:rsidR="00492C46" w:rsidRPr="004147E8">
        <w:rPr>
          <w:rFonts w:ascii="Arial" w:hAnsi="Arial" w:cs="Arial"/>
          <w:b/>
          <w:bCs/>
        </w:rPr>
        <w:t>s</w:t>
      </w:r>
      <w:r w:rsidR="00BA0F2A" w:rsidRPr="004147E8">
        <w:rPr>
          <w:rFonts w:ascii="Arial" w:hAnsi="Arial" w:cs="Arial"/>
          <w:b/>
          <w:bCs/>
        </w:rPr>
        <w:t xml:space="preserve">, Temp, </w:t>
      </w:r>
      <w:r w:rsidR="00AE790A" w:rsidRPr="004147E8">
        <w:rPr>
          <w:rFonts w:ascii="Arial" w:hAnsi="Arial" w:cs="Arial"/>
          <w:b/>
          <w:bCs/>
        </w:rPr>
        <w:t xml:space="preserve">Spec, </w:t>
      </w:r>
      <w:r w:rsidR="00BA0F2A" w:rsidRPr="004147E8">
        <w:rPr>
          <w:rFonts w:ascii="Arial" w:hAnsi="Arial" w:cs="Arial"/>
          <w:b/>
          <w:bCs/>
        </w:rPr>
        <w:t>Rem</w:t>
      </w:r>
      <w:r w:rsidR="00BA0F2A" w:rsidRPr="004147E8">
        <w:rPr>
          <w:rFonts w:ascii="Arial" w:hAnsi="Arial" w:cs="Arial"/>
          <w:bCs/>
        </w:rPr>
        <w:t xml:space="preserve"> </w:t>
      </w:r>
      <w:r w:rsidR="00AE790A" w:rsidRPr="004147E8">
        <w:rPr>
          <w:rFonts w:ascii="Arial" w:hAnsi="Arial" w:cs="Arial"/>
          <w:bCs/>
        </w:rPr>
        <w:t xml:space="preserve">includes the </w:t>
      </w:r>
      <w:r w:rsidR="00492C46" w:rsidRPr="004147E8">
        <w:rPr>
          <w:rFonts w:ascii="Arial" w:hAnsi="Arial" w:cs="Arial"/>
          <w:bCs/>
        </w:rPr>
        <w:t xml:space="preserve">complete </w:t>
      </w:r>
      <w:r w:rsidR="00AE790A" w:rsidRPr="004147E8">
        <w:rPr>
          <w:rFonts w:ascii="Arial" w:hAnsi="Arial" w:cs="Arial"/>
          <w:bCs/>
        </w:rPr>
        <w:t>removal and disposal of the temporary pedestrian bridge</w:t>
      </w:r>
      <w:r w:rsidR="000A724F" w:rsidRPr="004147E8">
        <w:rPr>
          <w:rFonts w:ascii="Arial" w:hAnsi="Arial" w:cs="Arial"/>
          <w:bCs/>
        </w:rPr>
        <w:t xml:space="preserve"> and foundation</w:t>
      </w:r>
      <w:r w:rsidR="00AE790A" w:rsidRPr="004147E8">
        <w:rPr>
          <w:rFonts w:ascii="Arial" w:hAnsi="Arial" w:cs="Arial"/>
          <w:bCs/>
        </w:rPr>
        <w:t>.</w:t>
      </w:r>
    </w:p>
    <w:p w14:paraId="6CBF3CCD" w14:textId="5002AF91" w:rsidR="00CF0714" w:rsidRPr="004147E8" w:rsidRDefault="00637CC1" w:rsidP="001B092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</w:rPr>
      </w:pPr>
      <w:r w:rsidRPr="004147E8">
        <w:rPr>
          <w:rFonts w:ascii="Arial" w:hAnsi="Arial" w:cs="Arial"/>
          <w:bCs/>
        </w:rPr>
        <w:t xml:space="preserve">Payment for temporary pedestrian pathways on the approaches to the temporary pedestrian bridge will be paid for </w:t>
      </w:r>
      <w:r w:rsidR="002C2E02" w:rsidRPr="004147E8">
        <w:rPr>
          <w:rFonts w:ascii="Arial" w:hAnsi="Arial" w:cs="Arial"/>
          <w:bCs/>
        </w:rPr>
        <w:t xml:space="preserve">with </w:t>
      </w:r>
      <w:r w:rsidRPr="004147E8">
        <w:rPr>
          <w:rFonts w:ascii="Arial" w:hAnsi="Arial" w:cs="Arial"/>
          <w:bCs/>
        </w:rPr>
        <w:t>other items.</w:t>
      </w:r>
    </w:p>
    <w:sectPr w:rsidR="00CF0714" w:rsidRPr="004147E8" w:rsidSect="00164824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CFF2F" w14:textId="77777777" w:rsidR="004B27E8" w:rsidRDefault="004B27E8" w:rsidP="00924A1C">
      <w:pPr>
        <w:spacing w:after="0" w:line="240" w:lineRule="auto"/>
      </w:pPr>
      <w:r>
        <w:separator/>
      </w:r>
    </w:p>
  </w:endnote>
  <w:endnote w:type="continuationSeparator" w:id="0">
    <w:p w14:paraId="23E62EEB" w14:textId="77777777" w:rsidR="004B27E8" w:rsidRDefault="004B27E8" w:rsidP="0092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1CD1" w14:textId="77777777" w:rsidR="004B27E8" w:rsidRDefault="004B27E8" w:rsidP="00924A1C">
      <w:pPr>
        <w:spacing w:after="0" w:line="240" w:lineRule="auto"/>
      </w:pPr>
      <w:r>
        <w:separator/>
      </w:r>
    </w:p>
  </w:footnote>
  <w:footnote w:type="continuationSeparator" w:id="0">
    <w:p w14:paraId="312E8FA5" w14:textId="77777777" w:rsidR="004B27E8" w:rsidRDefault="004B27E8" w:rsidP="00924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AAE7" w14:textId="45D8B3FF" w:rsidR="00CF0714" w:rsidRPr="00B151F7" w:rsidRDefault="00BA0F2A" w:rsidP="00B151F7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B151F7">
      <w:rPr>
        <w:rFonts w:ascii="Arial" w:hAnsi="Arial" w:cs="Arial"/>
        <w:sz w:val="24"/>
        <w:szCs w:val="24"/>
      </w:rPr>
      <w:t>2</w:t>
    </w:r>
    <w:r w:rsidR="00104666" w:rsidRPr="00B151F7">
      <w:rPr>
        <w:rFonts w:ascii="Arial" w:hAnsi="Arial" w:cs="Arial"/>
        <w:sz w:val="24"/>
        <w:szCs w:val="24"/>
      </w:rPr>
      <w:t>0</w:t>
    </w:r>
    <w:r w:rsidR="00B151F7">
      <w:rPr>
        <w:rFonts w:ascii="Arial" w:hAnsi="Arial" w:cs="Arial"/>
        <w:sz w:val="24"/>
        <w:szCs w:val="24"/>
      </w:rPr>
      <w:t>BR</w:t>
    </w:r>
    <w:r w:rsidRPr="00B151F7">
      <w:rPr>
        <w:rFonts w:ascii="Arial" w:hAnsi="Arial" w:cs="Arial"/>
        <w:sz w:val="24"/>
        <w:szCs w:val="24"/>
      </w:rPr>
      <w:t>714(</w:t>
    </w:r>
    <w:r w:rsidR="00B151F7">
      <w:rPr>
        <w:rFonts w:ascii="Arial" w:hAnsi="Arial" w:cs="Arial"/>
        <w:sz w:val="24"/>
        <w:szCs w:val="24"/>
      </w:rPr>
      <w:t>B670</w:t>
    </w:r>
    <w:r w:rsidRPr="00B151F7">
      <w:rPr>
        <w:rFonts w:ascii="Arial" w:hAnsi="Arial" w:cs="Arial"/>
        <w:sz w:val="24"/>
        <w:szCs w:val="24"/>
      </w:rPr>
      <w:t>)</w:t>
    </w:r>
  </w:p>
  <w:p w14:paraId="37F22095" w14:textId="20659418" w:rsidR="00BA0F2A" w:rsidRPr="00B151F7" w:rsidRDefault="002C2E02" w:rsidP="001B092A">
    <w:pPr>
      <w:widowControl w:val="0"/>
      <w:tabs>
        <w:tab w:val="center" w:pos="4680"/>
        <w:tab w:val="right" w:pos="9360"/>
      </w:tabs>
      <w:spacing w:after="0" w:line="240" w:lineRule="auto"/>
      <w:rPr>
        <w:rFonts w:ascii="Arial" w:hAnsi="Arial" w:cs="Arial"/>
        <w:sz w:val="24"/>
        <w:szCs w:val="24"/>
      </w:rPr>
    </w:pPr>
    <w:proofErr w:type="gramStart"/>
    <w:r w:rsidRPr="00B151F7">
      <w:rPr>
        <w:rFonts w:ascii="Arial" w:hAnsi="Arial" w:cs="Arial"/>
        <w:sz w:val="24"/>
        <w:szCs w:val="24"/>
      </w:rPr>
      <w:t>BRG</w:t>
    </w:r>
    <w:r w:rsidR="00B65F86" w:rsidRPr="00B151F7">
      <w:rPr>
        <w:rFonts w:ascii="Arial" w:hAnsi="Arial" w:cs="Arial"/>
        <w:sz w:val="24"/>
        <w:szCs w:val="24"/>
      </w:rPr>
      <w:t>:</w:t>
    </w:r>
    <w:r w:rsidRPr="00B151F7">
      <w:rPr>
        <w:rFonts w:ascii="Arial" w:hAnsi="Arial" w:cs="Arial"/>
        <w:sz w:val="24"/>
        <w:szCs w:val="24"/>
      </w:rPr>
      <w:t>K</w:t>
    </w:r>
    <w:r w:rsidR="000D2D10" w:rsidRPr="00B151F7">
      <w:rPr>
        <w:rFonts w:ascii="Arial" w:hAnsi="Arial" w:cs="Arial"/>
        <w:sz w:val="24"/>
        <w:szCs w:val="24"/>
      </w:rPr>
      <w:t>S</w:t>
    </w:r>
    <w:r w:rsidRPr="00B151F7">
      <w:rPr>
        <w:rFonts w:ascii="Arial" w:hAnsi="Arial" w:cs="Arial"/>
        <w:sz w:val="24"/>
        <w:szCs w:val="24"/>
      </w:rPr>
      <w:t>F</w:t>
    </w:r>
    <w:proofErr w:type="gramEnd"/>
    <w:r w:rsidR="00BA0F2A" w:rsidRPr="00B151F7">
      <w:rPr>
        <w:rFonts w:ascii="Arial" w:hAnsi="Arial" w:cs="Arial"/>
        <w:sz w:val="24"/>
        <w:szCs w:val="24"/>
      </w:rPr>
      <w:tab/>
    </w:r>
    <w:r w:rsidR="00487FBF" w:rsidRPr="00B151F7">
      <w:rPr>
        <w:rFonts w:ascii="Arial" w:hAnsi="Arial" w:cs="Arial"/>
        <w:sz w:val="24"/>
        <w:szCs w:val="24"/>
      </w:rPr>
      <w:fldChar w:fldCharType="begin"/>
    </w:r>
    <w:r w:rsidR="00BA0F2A" w:rsidRPr="00B151F7">
      <w:rPr>
        <w:rFonts w:ascii="Arial" w:hAnsi="Arial" w:cs="Arial"/>
        <w:sz w:val="24"/>
        <w:szCs w:val="24"/>
      </w:rPr>
      <w:instrText xml:space="preserve"> PAGE   \* MERGEFORMAT </w:instrText>
    </w:r>
    <w:r w:rsidR="00487FBF" w:rsidRPr="00B151F7">
      <w:rPr>
        <w:rFonts w:ascii="Arial" w:hAnsi="Arial" w:cs="Arial"/>
        <w:sz w:val="24"/>
        <w:szCs w:val="24"/>
      </w:rPr>
      <w:fldChar w:fldCharType="separate"/>
    </w:r>
    <w:r w:rsidR="00FC48CE" w:rsidRPr="00B151F7">
      <w:rPr>
        <w:rFonts w:ascii="Arial" w:hAnsi="Arial" w:cs="Arial"/>
        <w:noProof/>
        <w:sz w:val="24"/>
        <w:szCs w:val="24"/>
      </w:rPr>
      <w:t>2</w:t>
    </w:r>
    <w:r w:rsidR="00487FBF" w:rsidRPr="00B151F7">
      <w:rPr>
        <w:rFonts w:ascii="Arial" w:hAnsi="Arial" w:cs="Arial"/>
        <w:sz w:val="24"/>
        <w:szCs w:val="24"/>
      </w:rPr>
      <w:fldChar w:fldCharType="end"/>
    </w:r>
    <w:r w:rsidR="00BA0F2A" w:rsidRPr="00B151F7">
      <w:rPr>
        <w:rFonts w:ascii="Arial" w:hAnsi="Arial" w:cs="Arial"/>
        <w:sz w:val="24"/>
        <w:szCs w:val="24"/>
      </w:rPr>
      <w:t xml:space="preserve"> of </w:t>
    </w:r>
    <w:r w:rsidR="001D7864" w:rsidRPr="00B151F7">
      <w:rPr>
        <w:rFonts w:ascii="Arial" w:hAnsi="Arial" w:cs="Arial"/>
        <w:sz w:val="24"/>
        <w:szCs w:val="24"/>
      </w:rPr>
      <w:fldChar w:fldCharType="begin"/>
    </w:r>
    <w:r w:rsidR="001D7864" w:rsidRPr="00B151F7">
      <w:rPr>
        <w:rFonts w:ascii="Arial" w:hAnsi="Arial" w:cs="Arial"/>
        <w:sz w:val="24"/>
        <w:szCs w:val="24"/>
      </w:rPr>
      <w:instrText xml:space="preserve"> NUMPAGES   \* MERGEFORMAT </w:instrText>
    </w:r>
    <w:r w:rsidR="001D7864" w:rsidRPr="00B151F7">
      <w:rPr>
        <w:rFonts w:ascii="Arial" w:hAnsi="Arial" w:cs="Arial"/>
        <w:sz w:val="24"/>
        <w:szCs w:val="24"/>
      </w:rPr>
      <w:fldChar w:fldCharType="separate"/>
    </w:r>
    <w:r w:rsidR="00FC48CE" w:rsidRPr="00B151F7">
      <w:rPr>
        <w:rFonts w:ascii="Arial" w:hAnsi="Arial" w:cs="Arial"/>
        <w:noProof/>
        <w:sz w:val="24"/>
        <w:szCs w:val="24"/>
      </w:rPr>
      <w:t>2</w:t>
    </w:r>
    <w:r w:rsidR="001D7864" w:rsidRPr="00B151F7">
      <w:rPr>
        <w:rFonts w:ascii="Arial" w:hAnsi="Arial" w:cs="Arial"/>
        <w:noProof/>
        <w:sz w:val="24"/>
        <w:szCs w:val="24"/>
      </w:rPr>
      <w:fldChar w:fldCharType="end"/>
    </w:r>
    <w:r w:rsidR="00BA0F2A" w:rsidRPr="00B151F7">
      <w:rPr>
        <w:rFonts w:ascii="Arial" w:hAnsi="Arial" w:cs="Arial"/>
        <w:sz w:val="24"/>
        <w:szCs w:val="24"/>
      </w:rPr>
      <w:tab/>
      <w:t>0</w:t>
    </w:r>
    <w:r w:rsidR="008F5072">
      <w:rPr>
        <w:rFonts w:ascii="Arial" w:hAnsi="Arial" w:cs="Arial"/>
        <w:sz w:val="24"/>
        <w:szCs w:val="24"/>
      </w:rPr>
      <w:t>1</w:t>
    </w:r>
    <w:r w:rsidR="00BA0F2A" w:rsidRPr="00B151F7">
      <w:rPr>
        <w:rFonts w:ascii="Arial" w:hAnsi="Arial" w:cs="Arial"/>
        <w:sz w:val="24"/>
        <w:szCs w:val="24"/>
      </w:rPr>
      <w:t>-</w:t>
    </w:r>
    <w:r w:rsidR="008F5072">
      <w:rPr>
        <w:rFonts w:ascii="Arial" w:hAnsi="Arial" w:cs="Arial"/>
        <w:sz w:val="24"/>
        <w:szCs w:val="24"/>
      </w:rPr>
      <w:t>11</w:t>
    </w:r>
    <w:r w:rsidR="00BA0F2A" w:rsidRPr="00B151F7">
      <w:rPr>
        <w:rFonts w:ascii="Arial" w:hAnsi="Arial" w:cs="Arial"/>
        <w:sz w:val="24"/>
        <w:szCs w:val="24"/>
      </w:rPr>
      <w:t>-</w:t>
    </w:r>
    <w:r w:rsidR="00104666" w:rsidRPr="00B151F7">
      <w:rPr>
        <w:rFonts w:ascii="Arial" w:hAnsi="Arial" w:cs="Arial"/>
        <w:sz w:val="24"/>
        <w:szCs w:val="24"/>
      </w:rPr>
      <w:t>2</w:t>
    </w:r>
    <w:r w:rsidR="000D2D10">
      <w:rPr>
        <w:rFonts w:ascii="Arial" w:hAnsi="Arial" w:cs="Arial"/>
        <w:sz w:val="24"/>
        <w:szCs w:val="24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24EF" w14:textId="71DCA841" w:rsidR="00CF0714" w:rsidRPr="00B151F7" w:rsidRDefault="00BA0F2A" w:rsidP="00B151F7">
    <w:pPr>
      <w:widowControl w:val="0"/>
      <w:spacing w:after="0" w:line="240" w:lineRule="auto"/>
      <w:jc w:val="right"/>
      <w:rPr>
        <w:rFonts w:ascii="Arial" w:hAnsi="Arial" w:cs="Arial"/>
        <w:sz w:val="24"/>
        <w:szCs w:val="24"/>
      </w:rPr>
    </w:pPr>
    <w:r w:rsidRPr="00B151F7">
      <w:rPr>
        <w:rFonts w:ascii="Arial" w:hAnsi="Arial" w:cs="Arial"/>
        <w:sz w:val="24"/>
        <w:szCs w:val="24"/>
      </w:rPr>
      <w:t>2</w:t>
    </w:r>
    <w:r w:rsidR="00AD2504" w:rsidRPr="00B151F7">
      <w:rPr>
        <w:rFonts w:ascii="Arial" w:hAnsi="Arial" w:cs="Arial"/>
        <w:sz w:val="24"/>
        <w:szCs w:val="24"/>
      </w:rPr>
      <w:t>0</w:t>
    </w:r>
    <w:r w:rsidR="00B151F7">
      <w:rPr>
        <w:rFonts w:ascii="Arial" w:hAnsi="Arial" w:cs="Arial"/>
        <w:sz w:val="24"/>
        <w:szCs w:val="24"/>
      </w:rPr>
      <w:t>BR</w:t>
    </w:r>
    <w:r w:rsidRPr="00B151F7">
      <w:rPr>
        <w:rFonts w:ascii="Arial" w:hAnsi="Arial" w:cs="Arial"/>
        <w:sz w:val="24"/>
        <w:szCs w:val="24"/>
      </w:rPr>
      <w:t>714(</w:t>
    </w:r>
    <w:r w:rsidR="00B151F7">
      <w:rPr>
        <w:rFonts w:ascii="Arial" w:hAnsi="Arial" w:cs="Arial"/>
        <w:sz w:val="24"/>
        <w:szCs w:val="24"/>
      </w:rPr>
      <w:t>B670</w:t>
    </w:r>
    <w:r w:rsidRPr="00B151F7">
      <w:rPr>
        <w:rFonts w:ascii="Arial" w:hAnsi="Arial" w:cs="Arial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36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1C"/>
    <w:rsid w:val="00004012"/>
    <w:rsid w:val="00094D70"/>
    <w:rsid w:val="00097F52"/>
    <w:rsid w:val="000A6C73"/>
    <w:rsid w:val="000A724F"/>
    <w:rsid w:val="000B1273"/>
    <w:rsid w:val="000C0B5A"/>
    <w:rsid w:val="000D2D10"/>
    <w:rsid w:val="000D31AD"/>
    <w:rsid w:val="00104666"/>
    <w:rsid w:val="00164824"/>
    <w:rsid w:val="00171F1E"/>
    <w:rsid w:val="0018397B"/>
    <w:rsid w:val="001A5EA8"/>
    <w:rsid w:val="001B092A"/>
    <w:rsid w:val="001C12AD"/>
    <w:rsid w:val="001C2CDB"/>
    <w:rsid w:val="001D7864"/>
    <w:rsid w:val="002170D2"/>
    <w:rsid w:val="00270C27"/>
    <w:rsid w:val="00271525"/>
    <w:rsid w:val="00273449"/>
    <w:rsid w:val="002924FF"/>
    <w:rsid w:val="002A2AF0"/>
    <w:rsid w:val="002C20CD"/>
    <w:rsid w:val="002C2E02"/>
    <w:rsid w:val="002E078F"/>
    <w:rsid w:val="002E58E1"/>
    <w:rsid w:val="0030401D"/>
    <w:rsid w:val="0030557D"/>
    <w:rsid w:val="00342386"/>
    <w:rsid w:val="00354136"/>
    <w:rsid w:val="003949B4"/>
    <w:rsid w:val="003975F1"/>
    <w:rsid w:val="003A6561"/>
    <w:rsid w:val="004147E8"/>
    <w:rsid w:val="0041738D"/>
    <w:rsid w:val="004251D9"/>
    <w:rsid w:val="004260AE"/>
    <w:rsid w:val="00431674"/>
    <w:rsid w:val="004608C5"/>
    <w:rsid w:val="00485955"/>
    <w:rsid w:val="00487FBF"/>
    <w:rsid w:val="00492C46"/>
    <w:rsid w:val="004970AB"/>
    <w:rsid w:val="004A4959"/>
    <w:rsid w:val="004A4CAF"/>
    <w:rsid w:val="004B27E8"/>
    <w:rsid w:val="004B64F5"/>
    <w:rsid w:val="004D4EFE"/>
    <w:rsid w:val="00590976"/>
    <w:rsid w:val="005D2ECA"/>
    <w:rsid w:val="00606B31"/>
    <w:rsid w:val="00634CE4"/>
    <w:rsid w:val="00637CC1"/>
    <w:rsid w:val="006E77EF"/>
    <w:rsid w:val="00725AF2"/>
    <w:rsid w:val="00736464"/>
    <w:rsid w:val="0073788E"/>
    <w:rsid w:val="00746462"/>
    <w:rsid w:val="0074725E"/>
    <w:rsid w:val="00770B0C"/>
    <w:rsid w:val="007C2EE7"/>
    <w:rsid w:val="007D0196"/>
    <w:rsid w:val="007F4120"/>
    <w:rsid w:val="007F6D82"/>
    <w:rsid w:val="00821F5B"/>
    <w:rsid w:val="008360B3"/>
    <w:rsid w:val="00887A1C"/>
    <w:rsid w:val="008F5072"/>
    <w:rsid w:val="0091149B"/>
    <w:rsid w:val="00924A1C"/>
    <w:rsid w:val="00937C1B"/>
    <w:rsid w:val="00950EE1"/>
    <w:rsid w:val="00963091"/>
    <w:rsid w:val="009825A6"/>
    <w:rsid w:val="009B768F"/>
    <w:rsid w:val="009D695F"/>
    <w:rsid w:val="00A665A3"/>
    <w:rsid w:val="00AD2504"/>
    <w:rsid w:val="00AE790A"/>
    <w:rsid w:val="00B151F7"/>
    <w:rsid w:val="00B65F86"/>
    <w:rsid w:val="00BA0F2A"/>
    <w:rsid w:val="00BB3829"/>
    <w:rsid w:val="00C017B7"/>
    <w:rsid w:val="00C13A0A"/>
    <w:rsid w:val="00C31951"/>
    <w:rsid w:val="00C4610B"/>
    <w:rsid w:val="00C626E7"/>
    <w:rsid w:val="00C7634D"/>
    <w:rsid w:val="00C8048F"/>
    <w:rsid w:val="00C80E2A"/>
    <w:rsid w:val="00C81EFF"/>
    <w:rsid w:val="00CA0CC6"/>
    <w:rsid w:val="00CC361A"/>
    <w:rsid w:val="00CF0714"/>
    <w:rsid w:val="00D02DD9"/>
    <w:rsid w:val="00D20E6E"/>
    <w:rsid w:val="00D751E1"/>
    <w:rsid w:val="00DA3275"/>
    <w:rsid w:val="00DE5597"/>
    <w:rsid w:val="00DE78AB"/>
    <w:rsid w:val="00E3779B"/>
    <w:rsid w:val="00E460D7"/>
    <w:rsid w:val="00E70ADB"/>
    <w:rsid w:val="00E86EEF"/>
    <w:rsid w:val="00EA1601"/>
    <w:rsid w:val="00EB67DD"/>
    <w:rsid w:val="00EE2621"/>
    <w:rsid w:val="00EF12FF"/>
    <w:rsid w:val="00FC48CE"/>
    <w:rsid w:val="00F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6184A"/>
  <w15:docId w15:val="{C4E48160-0B1A-4D9E-92E0-A9F9FE4F1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F0"/>
  </w:style>
  <w:style w:type="paragraph" w:styleId="Heading1">
    <w:name w:val="heading 1"/>
    <w:basedOn w:val="Normal"/>
    <w:next w:val="Normal"/>
    <w:link w:val="Heading1Char"/>
    <w:uiPriority w:val="9"/>
    <w:qFormat/>
    <w:rsid w:val="001B092A"/>
    <w:pPr>
      <w:widowControl w:val="0"/>
      <w:spacing w:after="0" w:line="24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A1C"/>
  </w:style>
  <w:style w:type="paragraph" w:styleId="Footer">
    <w:name w:val="footer"/>
    <w:basedOn w:val="Normal"/>
    <w:link w:val="FooterChar"/>
    <w:uiPriority w:val="99"/>
    <w:unhideWhenUsed/>
    <w:rsid w:val="00924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A1C"/>
  </w:style>
  <w:style w:type="paragraph" w:styleId="ListParagraph">
    <w:name w:val="List Paragraph"/>
    <w:basedOn w:val="Normal"/>
    <w:uiPriority w:val="34"/>
    <w:qFormat/>
    <w:rsid w:val="00887A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0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D250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092A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21E60-1553-43DA-8885-FB65A0CA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2372</Characters>
  <Application>Microsoft Office Word</Application>
  <DocSecurity>0</DocSecurity>
  <Lines>62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Bergmann Associates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 Quagliata</dc:creator>
  <cp:lastModifiedBy>Pawelec, David B. (MDOT)</cp:lastModifiedBy>
  <cp:revision>3</cp:revision>
  <cp:lastPrinted>2018-12-05T22:54:00Z</cp:lastPrinted>
  <dcterms:created xsi:type="dcterms:W3CDTF">2026-03-19T18:12:00Z</dcterms:created>
  <dcterms:modified xsi:type="dcterms:W3CDTF">2026-03-19T18:16:00Z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2023-11-29T14:32:54Z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9a04b14a-4f2e-4dfc-b88b-bc6d98f0975b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