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8137" w14:textId="77777777" w:rsidR="00480606" w:rsidRPr="0067752B" w:rsidRDefault="00480606" w:rsidP="006F4585">
      <w:pPr>
        <w:jc w:val="center"/>
        <w:rPr>
          <w:rFonts w:ascii="Arial" w:hAnsi="Arial" w:cs="Arial"/>
        </w:rPr>
      </w:pPr>
      <w:r w:rsidRPr="0067752B">
        <w:rPr>
          <w:rFonts w:ascii="Arial" w:hAnsi="Arial" w:cs="Arial"/>
        </w:rPr>
        <w:t>MICHIGAN</w:t>
      </w:r>
    </w:p>
    <w:p w14:paraId="222FFB91" w14:textId="77777777" w:rsidR="00480606" w:rsidRPr="0067752B" w:rsidRDefault="00480606" w:rsidP="006F4585">
      <w:pPr>
        <w:jc w:val="center"/>
        <w:rPr>
          <w:rFonts w:ascii="Arial" w:hAnsi="Arial" w:cs="Arial"/>
        </w:rPr>
      </w:pPr>
      <w:r w:rsidRPr="0067752B">
        <w:rPr>
          <w:rFonts w:ascii="Arial" w:hAnsi="Arial" w:cs="Arial"/>
        </w:rPr>
        <w:t>DEPARTMENT OF TRANSPORTATION</w:t>
      </w:r>
    </w:p>
    <w:p w14:paraId="25D2A253" w14:textId="77777777" w:rsidR="00480606" w:rsidRPr="0067752B" w:rsidRDefault="00480606" w:rsidP="006F4585">
      <w:pPr>
        <w:jc w:val="center"/>
        <w:rPr>
          <w:rFonts w:ascii="Arial" w:hAnsi="Arial" w:cs="Arial"/>
        </w:rPr>
      </w:pPr>
    </w:p>
    <w:p w14:paraId="1CAA09EB" w14:textId="77777777" w:rsidR="00480606" w:rsidRPr="0067752B" w:rsidRDefault="00480606" w:rsidP="006F4585">
      <w:pPr>
        <w:jc w:val="center"/>
        <w:rPr>
          <w:rFonts w:ascii="Arial" w:hAnsi="Arial" w:cs="Arial"/>
        </w:rPr>
      </w:pPr>
      <w:r w:rsidRPr="0067752B">
        <w:rPr>
          <w:rFonts w:ascii="Arial" w:hAnsi="Arial" w:cs="Arial"/>
        </w:rPr>
        <w:t>SPECIAL PROVISION</w:t>
      </w:r>
    </w:p>
    <w:p w14:paraId="424B45F3" w14:textId="77777777" w:rsidR="00480606" w:rsidRPr="0067752B" w:rsidRDefault="00480606" w:rsidP="006F4585">
      <w:pPr>
        <w:jc w:val="center"/>
        <w:rPr>
          <w:rFonts w:ascii="Arial" w:hAnsi="Arial" w:cs="Arial"/>
          <w:bCs/>
        </w:rPr>
      </w:pPr>
      <w:r w:rsidRPr="0067752B">
        <w:rPr>
          <w:rFonts w:ascii="Arial" w:hAnsi="Arial" w:cs="Arial"/>
        </w:rPr>
        <w:t>FOR</w:t>
      </w:r>
    </w:p>
    <w:p w14:paraId="5CC7635A" w14:textId="093CDD13" w:rsidR="00480606" w:rsidRPr="0067752B" w:rsidRDefault="007507C3" w:rsidP="006F4585">
      <w:pPr>
        <w:jc w:val="center"/>
        <w:rPr>
          <w:rFonts w:ascii="Arial" w:hAnsi="Arial" w:cs="Arial"/>
        </w:rPr>
      </w:pPr>
      <w:r w:rsidRPr="0067752B">
        <w:rPr>
          <w:rFonts w:ascii="Arial" w:hAnsi="Arial" w:cs="Arial"/>
          <w:b/>
          <w:bCs/>
        </w:rPr>
        <w:t>LAKESHORE RIPRAP</w:t>
      </w:r>
    </w:p>
    <w:p w14:paraId="683B58FF" w14:textId="77777777" w:rsidR="00480606" w:rsidRPr="0067752B" w:rsidRDefault="00480606" w:rsidP="0067752B">
      <w:pPr>
        <w:jc w:val="both"/>
        <w:rPr>
          <w:rFonts w:ascii="Arial" w:hAnsi="Arial" w:cs="Arial"/>
        </w:rPr>
      </w:pPr>
    </w:p>
    <w:p w14:paraId="47D21EA8" w14:textId="1F7C682A" w:rsidR="00480606" w:rsidRPr="0067752B" w:rsidRDefault="006F0F4C" w:rsidP="0067752B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67752B">
        <w:rPr>
          <w:rFonts w:ascii="Arial" w:hAnsi="Arial" w:cs="Arial"/>
        </w:rPr>
        <w:t>GEO:CDJ</w:t>
      </w:r>
      <w:proofErr w:type="gramEnd"/>
      <w:r w:rsidR="0013474B" w:rsidRPr="0067752B">
        <w:rPr>
          <w:rFonts w:ascii="Arial" w:hAnsi="Arial" w:cs="Arial"/>
        </w:rPr>
        <w:tab/>
      </w:r>
      <w:r w:rsidR="00B948C2" w:rsidRPr="0067752B">
        <w:rPr>
          <w:rFonts w:ascii="Arial" w:hAnsi="Arial" w:cs="Arial"/>
          <w:bCs/>
        </w:rPr>
        <w:fldChar w:fldCharType="begin"/>
      </w:r>
      <w:r w:rsidR="00B948C2" w:rsidRPr="0067752B">
        <w:rPr>
          <w:rFonts w:ascii="Arial" w:hAnsi="Arial" w:cs="Arial"/>
          <w:bCs/>
        </w:rPr>
        <w:instrText xml:space="preserve"> PAGE  \* Arabic  \* MERGEFORMAT </w:instrText>
      </w:r>
      <w:r w:rsidR="00B948C2" w:rsidRPr="0067752B">
        <w:rPr>
          <w:rFonts w:ascii="Arial" w:hAnsi="Arial" w:cs="Arial"/>
          <w:bCs/>
        </w:rPr>
        <w:fldChar w:fldCharType="separate"/>
      </w:r>
      <w:r w:rsidR="00EC08A1" w:rsidRPr="0067752B">
        <w:rPr>
          <w:rFonts w:ascii="Arial" w:hAnsi="Arial" w:cs="Arial"/>
          <w:bCs/>
          <w:noProof/>
        </w:rPr>
        <w:t>1</w:t>
      </w:r>
      <w:r w:rsidR="00B948C2" w:rsidRPr="0067752B">
        <w:rPr>
          <w:rFonts w:ascii="Arial" w:hAnsi="Arial" w:cs="Arial"/>
          <w:bCs/>
        </w:rPr>
        <w:fldChar w:fldCharType="end"/>
      </w:r>
      <w:r w:rsidR="00B948C2" w:rsidRPr="0067752B">
        <w:rPr>
          <w:rFonts w:ascii="Arial" w:hAnsi="Arial" w:cs="Arial"/>
        </w:rPr>
        <w:t xml:space="preserve"> of </w:t>
      </w:r>
      <w:r w:rsidR="00B948C2" w:rsidRPr="0067752B">
        <w:rPr>
          <w:rFonts w:ascii="Arial" w:hAnsi="Arial" w:cs="Arial"/>
          <w:bCs/>
        </w:rPr>
        <w:fldChar w:fldCharType="begin"/>
      </w:r>
      <w:r w:rsidR="00B948C2" w:rsidRPr="0067752B">
        <w:rPr>
          <w:rFonts w:ascii="Arial" w:hAnsi="Arial" w:cs="Arial"/>
          <w:bCs/>
        </w:rPr>
        <w:instrText xml:space="preserve"> NUMPAGES  \* Arabic  \* MERGEFORMAT </w:instrText>
      </w:r>
      <w:r w:rsidR="00B948C2" w:rsidRPr="0067752B">
        <w:rPr>
          <w:rFonts w:ascii="Arial" w:hAnsi="Arial" w:cs="Arial"/>
          <w:bCs/>
        </w:rPr>
        <w:fldChar w:fldCharType="separate"/>
      </w:r>
      <w:r w:rsidR="00EC08A1" w:rsidRPr="0067752B">
        <w:rPr>
          <w:rFonts w:ascii="Arial" w:hAnsi="Arial" w:cs="Arial"/>
          <w:bCs/>
          <w:noProof/>
        </w:rPr>
        <w:t>3</w:t>
      </w:r>
      <w:r w:rsidR="00B948C2" w:rsidRPr="0067752B">
        <w:rPr>
          <w:rFonts w:ascii="Arial" w:hAnsi="Arial" w:cs="Arial"/>
          <w:bCs/>
        </w:rPr>
        <w:fldChar w:fldCharType="end"/>
      </w:r>
      <w:r w:rsidR="002B4ED5" w:rsidRPr="0067752B">
        <w:rPr>
          <w:rFonts w:ascii="Arial" w:hAnsi="Arial" w:cs="Arial"/>
        </w:rPr>
        <w:tab/>
      </w:r>
      <w:r w:rsidR="00F10561" w:rsidRPr="0067752B">
        <w:rPr>
          <w:rFonts w:ascii="Arial" w:hAnsi="Arial" w:cs="Arial"/>
        </w:rPr>
        <w:t>APPR:</w:t>
      </w:r>
      <w:r w:rsidR="007E3D1E" w:rsidRPr="0067752B">
        <w:rPr>
          <w:rFonts w:ascii="Arial" w:hAnsi="Arial" w:cs="Arial"/>
        </w:rPr>
        <w:t>RWS</w:t>
      </w:r>
      <w:r w:rsidR="00F10561" w:rsidRPr="0067752B">
        <w:rPr>
          <w:rFonts w:ascii="Arial" w:hAnsi="Arial" w:cs="Arial"/>
        </w:rPr>
        <w:t>:</w:t>
      </w:r>
      <w:r w:rsidR="007E3D1E" w:rsidRPr="0067752B">
        <w:rPr>
          <w:rFonts w:ascii="Arial" w:hAnsi="Arial" w:cs="Arial"/>
        </w:rPr>
        <w:t>DMG</w:t>
      </w:r>
      <w:r w:rsidR="00F10561" w:rsidRPr="0067752B">
        <w:rPr>
          <w:rFonts w:ascii="Arial" w:hAnsi="Arial" w:cs="Arial"/>
        </w:rPr>
        <w:t>:</w:t>
      </w:r>
      <w:r w:rsidR="00AE2B1B">
        <w:rPr>
          <w:rFonts w:ascii="Arial" w:hAnsi="Arial" w:cs="Arial"/>
        </w:rPr>
        <w:t>0</w:t>
      </w:r>
      <w:r w:rsidR="00033DBF">
        <w:rPr>
          <w:rFonts w:ascii="Arial" w:hAnsi="Arial" w:cs="Arial"/>
        </w:rPr>
        <w:t>7</w:t>
      </w:r>
      <w:r w:rsidR="00AE2B1B">
        <w:rPr>
          <w:rFonts w:ascii="Arial" w:hAnsi="Arial" w:cs="Arial"/>
        </w:rPr>
        <w:t>-</w:t>
      </w:r>
      <w:r w:rsidR="00033DBF">
        <w:rPr>
          <w:rFonts w:ascii="Arial" w:hAnsi="Arial" w:cs="Arial"/>
        </w:rPr>
        <w:t>29</w:t>
      </w:r>
      <w:r w:rsidR="00AE2B1B">
        <w:rPr>
          <w:rFonts w:ascii="Arial" w:hAnsi="Arial" w:cs="Arial"/>
        </w:rPr>
        <w:t>-24</w:t>
      </w:r>
    </w:p>
    <w:p w14:paraId="62EEDBB6" w14:textId="77777777" w:rsidR="00480606" w:rsidRPr="0067752B" w:rsidRDefault="00480606" w:rsidP="0067752B">
      <w:pPr>
        <w:jc w:val="both"/>
        <w:rPr>
          <w:rFonts w:ascii="Arial" w:hAnsi="Arial" w:cs="Arial"/>
          <w:bCs/>
          <w:sz w:val="22"/>
          <w:szCs w:val="22"/>
        </w:rPr>
      </w:pPr>
    </w:p>
    <w:p w14:paraId="006FB64E" w14:textId="1DD71F30" w:rsidR="00480606" w:rsidRPr="0067752B" w:rsidRDefault="00480606" w:rsidP="0067752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/>
          <w:bCs/>
          <w:sz w:val="22"/>
          <w:szCs w:val="22"/>
        </w:rPr>
        <w:t>a.</w:t>
      </w:r>
      <w:r w:rsidRPr="0067752B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67752B">
        <w:rPr>
          <w:rFonts w:ascii="Arial" w:hAnsi="Arial" w:cs="Arial"/>
          <w:sz w:val="22"/>
          <w:szCs w:val="22"/>
        </w:rPr>
        <w:t xml:space="preserve">  This work consists of preparing </w:t>
      </w:r>
      <w:r w:rsidR="003C7351" w:rsidRPr="0067752B">
        <w:rPr>
          <w:rFonts w:ascii="Arial" w:hAnsi="Arial" w:cs="Arial"/>
          <w:sz w:val="22"/>
          <w:szCs w:val="22"/>
        </w:rPr>
        <w:t xml:space="preserve">cut or fill </w:t>
      </w:r>
      <w:r w:rsidRPr="0067752B">
        <w:rPr>
          <w:rFonts w:ascii="Arial" w:hAnsi="Arial" w:cs="Arial"/>
          <w:sz w:val="22"/>
          <w:szCs w:val="22"/>
        </w:rPr>
        <w:t xml:space="preserve">grades, </w:t>
      </w:r>
      <w:r w:rsidR="001A3878" w:rsidRPr="0067752B">
        <w:rPr>
          <w:rFonts w:ascii="Arial" w:hAnsi="Arial" w:cs="Arial"/>
          <w:sz w:val="22"/>
          <w:szCs w:val="22"/>
        </w:rPr>
        <w:t xml:space="preserve">shoring the excavation, </w:t>
      </w:r>
      <w:r w:rsidRPr="0067752B">
        <w:rPr>
          <w:rFonts w:ascii="Arial" w:hAnsi="Arial" w:cs="Arial"/>
          <w:sz w:val="22"/>
          <w:szCs w:val="22"/>
        </w:rPr>
        <w:t xml:space="preserve">installing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Pr="0067752B">
        <w:rPr>
          <w:rFonts w:ascii="Arial" w:hAnsi="Arial" w:cs="Arial"/>
          <w:sz w:val="22"/>
          <w:szCs w:val="22"/>
        </w:rPr>
        <w:t xml:space="preserve">geotextile liner and furnishing and placing </w:t>
      </w:r>
      <w:r w:rsidR="003C7351" w:rsidRPr="0067752B">
        <w:rPr>
          <w:rFonts w:ascii="Arial" w:hAnsi="Arial" w:cs="Arial"/>
          <w:sz w:val="22"/>
          <w:szCs w:val="22"/>
        </w:rPr>
        <w:t xml:space="preserve">stone </w:t>
      </w:r>
      <w:r w:rsidRPr="0067752B">
        <w:rPr>
          <w:rFonts w:ascii="Arial" w:hAnsi="Arial" w:cs="Arial"/>
          <w:sz w:val="22"/>
          <w:szCs w:val="22"/>
        </w:rPr>
        <w:t xml:space="preserve">riprap on </w:t>
      </w:r>
      <w:r w:rsidR="003C7351" w:rsidRPr="0067752B">
        <w:rPr>
          <w:rFonts w:ascii="Arial" w:hAnsi="Arial" w:cs="Arial"/>
          <w:sz w:val="22"/>
          <w:szCs w:val="22"/>
        </w:rPr>
        <w:t xml:space="preserve">the lake </w:t>
      </w:r>
      <w:r w:rsidRPr="0067752B">
        <w:rPr>
          <w:rFonts w:ascii="Arial" w:hAnsi="Arial" w:cs="Arial"/>
          <w:sz w:val="22"/>
          <w:szCs w:val="22"/>
        </w:rPr>
        <w:t>bottom</w:t>
      </w:r>
      <w:r w:rsidR="003C7351" w:rsidRPr="0067752B">
        <w:rPr>
          <w:rFonts w:ascii="Arial" w:hAnsi="Arial" w:cs="Arial"/>
          <w:sz w:val="22"/>
          <w:szCs w:val="22"/>
        </w:rPr>
        <w:t xml:space="preserve"> </w:t>
      </w:r>
      <w:r w:rsidRPr="0067752B">
        <w:rPr>
          <w:rFonts w:ascii="Arial" w:hAnsi="Arial" w:cs="Arial"/>
          <w:sz w:val="22"/>
          <w:szCs w:val="22"/>
        </w:rPr>
        <w:t xml:space="preserve">and side slopes.  </w:t>
      </w:r>
      <w:r w:rsidR="00C07AAD" w:rsidRPr="0067752B">
        <w:rPr>
          <w:rFonts w:ascii="Arial" w:hAnsi="Arial" w:cs="Arial"/>
          <w:sz w:val="22"/>
          <w:szCs w:val="22"/>
        </w:rPr>
        <w:t>Complete al</w:t>
      </w:r>
      <w:r w:rsidRPr="0067752B">
        <w:rPr>
          <w:rFonts w:ascii="Arial" w:hAnsi="Arial" w:cs="Arial"/>
          <w:sz w:val="22"/>
          <w:szCs w:val="22"/>
        </w:rPr>
        <w:t xml:space="preserve">l work </w:t>
      </w:r>
      <w:r w:rsidR="00C07AAD" w:rsidRPr="0067752B">
        <w:rPr>
          <w:rFonts w:ascii="Arial" w:hAnsi="Arial" w:cs="Arial"/>
          <w:sz w:val="22"/>
          <w:szCs w:val="22"/>
        </w:rPr>
        <w:t>in</w:t>
      </w:r>
      <w:r w:rsidRPr="0067752B">
        <w:rPr>
          <w:rFonts w:ascii="Arial" w:hAnsi="Arial" w:cs="Arial"/>
          <w:sz w:val="22"/>
          <w:szCs w:val="22"/>
        </w:rPr>
        <w:t xml:space="preserve"> </w:t>
      </w:r>
      <w:r w:rsidR="00C07AAD" w:rsidRPr="0067752B">
        <w:rPr>
          <w:rFonts w:ascii="Arial" w:hAnsi="Arial" w:cs="Arial"/>
          <w:sz w:val="22"/>
          <w:szCs w:val="22"/>
        </w:rPr>
        <w:t xml:space="preserve">accordance with </w:t>
      </w:r>
      <w:r w:rsidRPr="0067752B">
        <w:rPr>
          <w:rFonts w:ascii="Arial" w:hAnsi="Arial" w:cs="Arial"/>
          <w:sz w:val="22"/>
          <w:szCs w:val="22"/>
        </w:rPr>
        <w:t>the plans</w:t>
      </w:r>
      <w:r w:rsidR="003C7351" w:rsidRPr="0067752B">
        <w:rPr>
          <w:rFonts w:ascii="Arial" w:hAnsi="Arial" w:cs="Arial"/>
          <w:sz w:val="22"/>
          <w:szCs w:val="22"/>
        </w:rPr>
        <w:t xml:space="preserve">, </w:t>
      </w:r>
      <w:r w:rsidRPr="0067752B">
        <w:rPr>
          <w:rFonts w:ascii="Arial" w:hAnsi="Arial" w:cs="Arial"/>
          <w:sz w:val="22"/>
          <w:szCs w:val="22"/>
        </w:rPr>
        <w:t xml:space="preserve">the </w:t>
      </w:r>
      <w:r w:rsidR="001420AD" w:rsidRPr="0067752B">
        <w:rPr>
          <w:rFonts w:ascii="Arial" w:hAnsi="Arial" w:cs="Arial"/>
          <w:sz w:val="22"/>
          <w:szCs w:val="22"/>
        </w:rPr>
        <w:t>s</w:t>
      </w:r>
      <w:r w:rsidRPr="0067752B">
        <w:rPr>
          <w:rFonts w:ascii="Arial" w:hAnsi="Arial" w:cs="Arial"/>
          <w:sz w:val="22"/>
          <w:szCs w:val="22"/>
        </w:rPr>
        <w:t xml:space="preserve">tandard </w:t>
      </w:r>
      <w:r w:rsidR="001420AD" w:rsidRPr="0067752B">
        <w:rPr>
          <w:rFonts w:ascii="Arial" w:hAnsi="Arial" w:cs="Arial"/>
          <w:sz w:val="22"/>
          <w:szCs w:val="22"/>
        </w:rPr>
        <w:t>s</w:t>
      </w:r>
      <w:r w:rsidRPr="0067752B">
        <w:rPr>
          <w:rFonts w:ascii="Arial" w:hAnsi="Arial" w:cs="Arial"/>
          <w:sz w:val="22"/>
          <w:szCs w:val="22"/>
        </w:rPr>
        <w:t>pecifications</w:t>
      </w:r>
      <w:r w:rsidR="003C7351" w:rsidRPr="0067752B">
        <w:rPr>
          <w:rFonts w:ascii="Arial" w:hAnsi="Arial" w:cs="Arial"/>
          <w:sz w:val="22"/>
          <w:szCs w:val="22"/>
        </w:rPr>
        <w:t xml:space="preserve"> and as directed by the Engineer</w:t>
      </w:r>
      <w:r w:rsidRPr="0067752B">
        <w:rPr>
          <w:rFonts w:ascii="Arial" w:hAnsi="Arial" w:cs="Arial"/>
          <w:sz w:val="22"/>
          <w:szCs w:val="22"/>
        </w:rPr>
        <w:t>.</w:t>
      </w:r>
    </w:p>
    <w:p w14:paraId="727C0661" w14:textId="77777777" w:rsidR="003C7351" w:rsidRPr="0067752B" w:rsidRDefault="003C7351" w:rsidP="0067752B">
      <w:pPr>
        <w:jc w:val="both"/>
        <w:rPr>
          <w:rFonts w:ascii="Arial" w:hAnsi="Arial" w:cs="Arial"/>
          <w:sz w:val="22"/>
          <w:szCs w:val="22"/>
        </w:rPr>
      </w:pPr>
    </w:p>
    <w:p w14:paraId="245F9DB2" w14:textId="3CD4307C" w:rsidR="003C7351" w:rsidRPr="0067752B" w:rsidRDefault="003C7351" w:rsidP="0067752B">
      <w:pPr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>The following definitions apply when used herein and on the plans</w:t>
      </w:r>
      <w:r w:rsidR="001A3878" w:rsidRPr="0067752B">
        <w:rPr>
          <w:rFonts w:ascii="Arial" w:hAnsi="Arial" w:cs="Arial"/>
          <w:sz w:val="22"/>
          <w:szCs w:val="22"/>
        </w:rPr>
        <w:t>:</w:t>
      </w:r>
    </w:p>
    <w:p w14:paraId="71F13441" w14:textId="4D6E839E" w:rsidR="008D5F0D" w:rsidRPr="0067752B" w:rsidRDefault="008D5F0D" w:rsidP="0067752B">
      <w:pPr>
        <w:jc w:val="both"/>
        <w:rPr>
          <w:rFonts w:ascii="Arial" w:hAnsi="Arial" w:cs="Arial"/>
          <w:sz w:val="22"/>
          <w:szCs w:val="22"/>
        </w:rPr>
      </w:pPr>
    </w:p>
    <w:p w14:paraId="1D868E9E" w14:textId="6EDC7B10" w:rsidR="003C7351" w:rsidRPr="0067752B" w:rsidRDefault="003C7351" w:rsidP="0067752B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Hlk20993326"/>
      <w:r w:rsidRPr="0067752B">
        <w:rPr>
          <w:rFonts w:ascii="Arial" w:hAnsi="Arial" w:cs="Arial"/>
          <w:b/>
          <w:bCs/>
          <w:sz w:val="22"/>
          <w:szCs w:val="22"/>
        </w:rPr>
        <w:t>Stone Underlayer.</w:t>
      </w:r>
      <w:r w:rsidRPr="0067752B">
        <w:rPr>
          <w:rFonts w:ascii="Arial" w:hAnsi="Arial" w:cs="Arial"/>
          <w:sz w:val="22"/>
          <w:szCs w:val="22"/>
        </w:rPr>
        <w:t xml:space="preserve">  A bedding layer </w:t>
      </w:r>
      <w:bookmarkEnd w:id="0"/>
      <w:r w:rsidRPr="0067752B">
        <w:rPr>
          <w:rFonts w:ascii="Arial" w:hAnsi="Arial" w:cs="Arial"/>
          <w:sz w:val="22"/>
          <w:szCs w:val="22"/>
        </w:rPr>
        <w:t>of stone</w:t>
      </w:r>
      <w:r w:rsidR="00EF2138" w:rsidRPr="0067752B">
        <w:rPr>
          <w:rFonts w:ascii="Arial" w:hAnsi="Arial" w:cs="Arial"/>
          <w:sz w:val="22"/>
          <w:szCs w:val="22"/>
        </w:rPr>
        <w:t xml:space="preserve"> aggregate</w:t>
      </w:r>
      <w:r w:rsidRPr="0067752B">
        <w:rPr>
          <w:rFonts w:ascii="Arial" w:hAnsi="Arial" w:cs="Arial"/>
          <w:sz w:val="22"/>
          <w:szCs w:val="22"/>
        </w:rPr>
        <w:t xml:space="preserve"> placed on the excavated ground surface and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="00ED373B" w:rsidRPr="0067752B">
        <w:rPr>
          <w:rFonts w:ascii="Arial" w:hAnsi="Arial" w:cs="Arial"/>
          <w:sz w:val="22"/>
          <w:szCs w:val="22"/>
        </w:rPr>
        <w:t>g</w:t>
      </w:r>
      <w:r w:rsidRPr="0067752B">
        <w:rPr>
          <w:rFonts w:ascii="Arial" w:hAnsi="Arial" w:cs="Arial"/>
          <w:sz w:val="22"/>
          <w:szCs w:val="22"/>
        </w:rPr>
        <w:t xml:space="preserve">eotextile </w:t>
      </w:r>
      <w:r w:rsidR="00ED373B" w:rsidRPr="0067752B">
        <w:rPr>
          <w:rFonts w:ascii="Arial" w:hAnsi="Arial" w:cs="Arial"/>
          <w:sz w:val="22"/>
          <w:szCs w:val="22"/>
        </w:rPr>
        <w:t>l</w:t>
      </w:r>
      <w:r w:rsidRPr="0067752B">
        <w:rPr>
          <w:rFonts w:ascii="Arial" w:hAnsi="Arial" w:cs="Arial"/>
          <w:sz w:val="22"/>
          <w:szCs w:val="22"/>
        </w:rPr>
        <w:t>iner below the larger Armor Stone</w:t>
      </w:r>
      <w:r w:rsidR="001A3878" w:rsidRPr="0067752B">
        <w:rPr>
          <w:rFonts w:ascii="Arial" w:hAnsi="Arial" w:cs="Arial"/>
          <w:sz w:val="22"/>
          <w:szCs w:val="22"/>
        </w:rPr>
        <w:t xml:space="preserve"> layer</w:t>
      </w:r>
      <w:r w:rsidR="00D73D27" w:rsidRPr="0067752B">
        <w:rPr>
          <w:rFonts w:ascii="Arial" w:hAnsi="Arial" w:cs="Arial"/>
          <w:sz w:val="22"/>
          <w:szCs w:val="22"/>
        </w:rPr>
        <w:t xml:space="preserve">.  </w:t>
      </w:r>
      <w:r w:rsidR="002A0812" w:rsidRPr="0067752B">
        <w:rPr>
          <w:rFonts w:ascii="Arial" w:hAnsi="Arial" w:cs="Arial"/>
          <w:sz w:val="22"/>
          <w:szCs w:val="22"/>
        </w:rPr>
        <w:t>T</w:t>
      </w:r>
      <w:r w:rsidRPr="0067752B">
        <w:rPr>
          <w:rFonts w:ascii="Arial" w:hAnsi="Arial" w:cs="Arial"/>
          <w:sz w:val="22"/>
          <w:szCs w:val="22"/>
        </w:rPr>
        <w:t xml:space="preserve">he thickness of this layer is </w:t>
      </w:r>
      <w:r w:rsidR="00ED373B" w:rsidRPr="0067752B">
        <w:rPr>
          <w:rFonts w:ascii="Arial" w:hAnsi="Arial" w:cs="Arial"/>
          <w:sz w:val="22"/>
          <w:szCs w:val="22"/>
        </w:rPr>
        <w:t>shown</w:t>
      </w:r>
      <w:r w:rsidRPr="0067752B">
        <w:rPr>
          <w:rFonts w:ascii="Arial" w:hAnsi="Arial" w:cs="Arial"/>
          <w:sz w:val="22"/>
          <w:szCs w:val="22"/>
        </w:rPr>
        <w:t xml:space="preserve"> on the plans.</w:t>
      </w:r>
    </w:p>
    <w:p w14:paraId="4E1A09FC" w14:textId="77777777" w:rsidR="003C7351" w:rsidRPr="0067752B" w:rsidRDefault="003C7351" w:rsidP="0067752B">
      <w:pPr>
        <w:jc w:val="both"/>
        <w:rPr>
          <w:rFonts w:ascii="Arial" w:hAnsi="Arial" w:cs="Arial"/>
          <w:sz w:val="22"/>
          <w:szCs w:val="22"/>
        </w:rPr>
      </w:pPr>
    </w:p>
    <w:p w14:paraId="57FDD712" w14:textId="1C6238AB" w:rsidR="003C7351" w:rsidRPr="0067752B" w:rsidRDefault="003C7351" w:rsidP="006775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/>
          <w:bCs/>
          <w:sz w:val="22"/>
          <w:szCs w:val="22"/>
        </w:rPr>
        <w:t>Armor Stone.</w:t>
      </w:r>
      <w:r w:rsidRPr="0067752B">
        <w:rPr>
          <w:rFonts w:ascii="Arial" w:hAnsi="Arial" w:cs="Arial"/>
          <w:sz w:val="22"/>
          <w:szCs w:val="22"/>
        </w:rPr>
        <w:t xml:space="preserve">  A layer of well-graded riprap placed above the Stone Underlayer. </w:t>
      </w:r>
      <w:r w:rsidR="00ED373B" w:rsidRPr="0067752B">
        <w:rPr>
          <w:rFonts w:ascii="Arial" w:hAnsi="Arial" w:cs="Arial"/>
          <w:sz w:val="22"/>
          <w:szCs w:val="22"/>
        </w:rPr>
        <w:t xml:space="preserve"> </w:t>
      </w:r>
      <w:r w:rsidRPr="0067752B">
        <w:rPr>
          <w:rFonts w:ascii="Arial" w:hAnsi="Arial" w:cs="Arial"/>
          <w:sz w:val="22"/>
          <w:szCs w:val="22"/>
        </w:rPr>
        <w:t xml:space="preserve">The thickness of this layer is </w:t>
      </w:r>
      <w:r w:rsidR="00ED373B" w:rsidRPr="0067752B">
        <w:rPr>
          <w:rFonts w:ascii="Arial" w:hAnsi="Arial" w:cs="Arial"/>
          <w:sz w:val="22"/>
          <w:szCs w:val="22"/>
        </w:rPr>
        <w:t>shown</w:t>
      </w:r>
      <w:r w:rsidRPr="0067752B">
        <w:rPr>
          <w:rFonts w:ascii="Arial" w:hAnsi="Arial" w:cs="Arial"/>
          <w:sz w:val="22"/>
          <w:szCs w:val="22"/>
        </w:rPr>
        <w:t xml:space="preserve"> on the plans.</w:t>
      </w:r>
    </w:p>
    <w:p w14:paraId="4030B52A" w14:textId="77777777" w:rsidR="003C7351" w:rsidRPr="0067752B" w:rsidRDefault="003C7351" w:rsidP="0067752B">
      <w:pPr>
        <w:jc w:val="both"/>
        <w:rPr>
          <w:rFonts w:ascii="Arial" w:hAnsi="Arial" w:cs="Arial"/>
          <w:sz w:val="22"/>
          <w:szCs w:val="22"/>
        </w:rPr>
      </w:pPr>
    </w:p>
    <w:p w14:paraId="2A6F5586" w14:textId="7D3CCCF6" w:rsidR="00480606" w:rsidRPr="0067752B" w:rsidRDefault="00480606" w:rsidP="0067752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/>
          <w:bCs/>
          <w:sz w:val="22"/>
          <w:szCs w:val="22"/>
        </w:rPr>
        <w:t>b.</w:t>
      </w:r>
      <w:r w:rsidRPr="0067752B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67752B">
        <w:rPr>
          <w:rFonts w:ascii="Arial" w:hAnsi="Arial" w:cs="Arial"/>
          <w:bCs/>
          <w:sz w:val="22"/>
          <w:szCs w:val="22"/>
        </w:rPr>
        <w:t xml:space="preserve">  </w:t>
      </w:r>
      <w:r w:rsidR="00D90E0A" w:rsidRPr="0067752B">
        <w:rPr>
          <w:rFonts w:ascii="Arial" w:hAnsi="Arial" w:cs="Arial"/>
          <w:sz w:val="22"/>
          <w:szCs w:val="22"/>
        </w:rPr>
        <w:t>Use s</w:t>
      </w:r>
      <w:r w:rsidRPr="0067752B">
        <w:rPr>
          <w:rFonts w:ascii="Arial" w:hAnsi="Arial" w:cs="Arial"/>
          <w:sz w:val="22"/>
          <w:szCs w:val="22"/>
        </w:rPr>
        <w:t xml:space="preserve">tone </w:t>
      </w:r>
      <w:r w:rsidR="00D90E0A" w:rsidRPr="0067752B">
        <w:rPr>
          <w:rFonts w:ascii="Arial" w:hAnsi="Arial" w:cs="Arial"/>
          <w:sz w:val="22"/>
          <w:szCs w:val="22"/>
        </w:rPr>
        <w:t>that is</w:t>
      </w:r>
      <w:r w:rsidRPr="0067752B">
        <w:rPr>
          <w:rFonts w:ascii="Arial" w:hAnsi="Arial" w:cs="Arial"/>
          <w:sz w:val="22"/>
          <w:szCs w:val="22"/>
        </w:rPr>
        <w:t xml:space="preserve"> quarried aggregate or waste mine rock, free from shale, spoil and organic material</w:t>
      </w:r>
      <w:r w:rsidR="001263A6" w:rsidRPr="0067752B">
        <w:rPr>
          <w:rFonts w:ascii="Arial" w:hAnsi="Arial" w:cs="Arial"/>
          <w:sz w:val="22"/>
          <w:szCs w:val="22"/>
        </w:rPr>
        <w:t>, as well as seams, cracks, or other structural defects</w:t>
      </w:r>
      <w:r w:rsidRPr="0067752B">
        <w:rPr>
          <w:rFonts w:ascii="Arial" w:hAnsi="Arial" w:cs="Arial"/>
          <w:sz w:val="22"/>
          <w:szCs w:val="22"/>
        </w:rPr>
        <w:t xml:space="preserve">.  </w:t>
      </w:r>
      <w:r w:rsidR="008D5F0D" w:rsidRPr="0067752B">
        <w:rPr>
          <w:rFonts w:ascii="Arial" w:hAnsi="Arial" w:cs="Arial"/>
          <w:sz w:val="22"/>
          <w:szCs w:val="22"/>
        </w:rPr>
        <w:t xml:space="preserve">The use of recycled crushed concrete is not permitted for any stone riprap.  </w:t>
      </w:r>
      <w:r w:rsidR="00C07AAD" w:rsidRPr="0067752B">
        <w:rPr>
          <w:rFonts w:ascii="Arial" w:hAnsi="Arial" w:cs="Arial"/>
          <w:sz w:val="22"/>
          <w:szCs w:val="22"/>
        </w:rPr>
        <w:t>Ensure t</w:t>
      </w:r>
      <w:r w:rsidRPr="0067752B">
        <w:rPr>
          <w:rFonts w:ascii="Arial" w:hAnsi="Arial" w:cs="Arial"/>
          <w:sz w:val="22"/>
          <w:szCs w:val="22"/>
        </w:rPr>
        <w:t xml:space="preserve">he stone </w:t>
      </w:r>
      <w:r w:rsidR="00C07AAD" w:rsidRPr="0067752B">
        <w:rPr>
          <w:rFonts w:ascii="Arial" w:hAnsi="Arial" w:cs="Arial"/>
          <w:sz w:val="22"/>
          <w:szCs w:val="22"/>
        </w:rPr>
        <w:t>is</w:t>
      </w:r>
      <w:r w:rsidRPr="0067752B">
        <w:rPr>
          <w:rFonts w:ascii="Arial" w:hAnsi="Arial" w:cs="Arial"/>
          <w:sz w:val="22"/>
          <w:szCs w:val="22"/>
        </w:rPr>
        <w:t xml:space="preserve"> hard, angular, durable and resistant to weathering and water </w:t>
      </w:r>
      <w:r w:rsidR="00F34244" w:rsidRPr="0067752B">
        <w:rPr>
          <w:rFonts w:ascii="Arial" w:hAnsi="Arial" w:cs="Arial"/>
          <w:sz w:val="22"/>
          <w:szCs w:val="22"/>
        </w:rPr>
        <w:t xml:space="preserve">and wave </w:t>
      </w:r>
      <w:r w:rsidR="008369C1" w:rsidRPr="0067752B">
        <w:rPr>
          <w:rFonts w:ascii="Arial" w:hAnsi="Arial" w:cs="Arial"/>
          <w:sz w:val="22"/>
          <w:szCs w:val="22"/>
        </w:rPr>
        <w:t>action,</w:t>
      </w:r>
      <w:r w:rsidRPr="0067752B">
        <w:rPr>
          <w:rFonts w:ascii="Arial" w:hAnsi="Arial" w:cs="Arial"/>
          <w:sz w:val="22"/>
          <w:szCs w:val="22"/>
        </w:rPr>
        <w:t xml:space="preserve"> having 2.5 minimum </w:t>
      </w:r>
      <w:r w:rsidR="001263A6" w:rsidRPr="0067752B">
        <w:rPr>
          <w:rFonts w:ascii="Arial" w:hAnsi="Arial" w:cs="Arial"/>
          <w:sz w:val="22"/>
          <w:szCs w:val="22"/>
        </w:rPr>
        <w:t xml:space="preserve">bulk dry </w:t>
      </w:r>
      <w:r w:rsidRPr="0067752B">
        <w:rPr>
          <w:rFonts w:ascii="Arial" w:hAnsi="Arial" w:cs="Arial"/>
          <w:sz w:val="22"/>
          <w:szCs w:val="22"/>
        </w:rPr>
        <w:t>specific gravity and 2.5</w:t>
      </w:r>
      <w:r w:rsidR="001420AD" w:rsidRPr="0067752B">
        <w:rPr>
          <w:rFonts w:ascii="Arial" w:hAnsi="Arial" w:cs="Arial"/>
          <w:sz w:val="22"/>
          <w:szCs w:val="22"/>
        </w:rPr>
        <w:t xml:space="preserve"> percent</w:t>
      </w:r>
      <w:r w:rsidRPr="0067752B">
        <w:rPr>
          <w:rFonts w:ascii="Arial" w:hAnsi="Arial" w:cs="Arial"/>
          <w:sz w:val="22"/>
          <w:szCs w:val="22"/>
        </w:rPr>
        <w:t xml:space="preserve"> maximum</w:t>
      </w:r>
      <w:r w:rsidR="001263A6" w:rsidRPr="0067752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263A6" w:rsidRPr="0067752B">
        <w:rPr>
          <w:rFonts w:ascii="Arial" w:hAnsi="Arial" w:cs="Arial"/>
          <w:sz w:val="22"/>
          <w:szCs w:val="22"/>
        </w:rPr>
        <w:t>24 hour</w:t>
      </w:r>
      <w:proofErr w:type="gramEnd"/>
      <w:r w:rsidR="001263A6" w:rsidRPr="0067752B">
        <w:rPr>
          <w:rFonts w:ascii="Arial" w:hAnsi="Arial" w:cs="Arial"/>
          <w:sz w:val="22"/>
          <w:szCs w:val="22"/>
        </w:rPr>
        <w:t xml:space="preserve"> soak</w:t>
      </w:r>
      <w:r w:rsidRPr="0067752B">
        <w:rPr>
          <w:rFonts w:ascii="Arial" w:hAnsi="Arial" w:cs="Arial"/>
          <w:sz w:val="22"/>
          <w:szCs w:val="22"/>
        </w:rPr>
        <w:t xml:space="preserve"> absorption </w:t>
      </w:r>
      <w:r w:rsidR="001773DA" w:rsidRPr="0067752B">
        <w:rPr>
          <w:rFonts w:ascii="Arial" w:hAnsi="Arial" w:cs="Arial"/>
          <w:sz w:val="22"/>
          <w:szCs w:val="22"/>
        </w:rPr>
        <w:t>in accordance with</w:t>
      </w:r>
      <w:r w:rsidRPr="0067752B">
        <w:rPr>
          <w:rFonts w:ascii="Arial" w:hAnsi="Arial" w:cs="Arial"/>
          <w:sz w:val="22"/>
          <w:szCs w:val="22"/>
        </w:rPr>
        <w:t xml:space="preserve"> </w:t>
      </w:r>
      <w:r w:rsidRPr="0067752B">
        <w:rPr>
          <w:rFonts w:ascii="Arial" w:hAnsi="Arial" w:cs="Arial"/>
          <w:i/>
          <w:sz w:val="22"/>
          <w:szCs w:val="22"/>
        </w:rPr>
        <w:t xml:space="preserve">ASTM </w:t>
      </w:r>
      <w:r w:rsidR="0078545E" w:rsidRPr="0067752B">
        <w:rPr>
          <w:rFonts w:ascii="Arial" w:hAnsi="Arial" w:cs="Arial"/>
          <w:i/>
          <w:sz w:val="22"/>
          <w:szCs w:val="22"/>
        </w:rPr>
        <w:t>D6473</w:t>
      </w:r>
      <w:r w:rsidRPr="0067752B">
        <w:rPr>
          <w:rFonts w:ascii="Arial" w:hAnsi="Arial" w:cs="Arial"/>
          <w:sz w:val="22"/>
          <w:szCs w:val="22"/>
        </w:rPr>
        <w:t xml:space="preserve">.  </w:t>
      </w:r>
      <w:r w:rsidR="006B0465" w:rsidRPr="0067752B">
        <w:rPr>
          <w:rFonts w:ascii="Arial" w:hAnsi="Arial" w:cs="Arial"/>
          <w:sz w:val="22"/>
          <w:szCs w:val="22"/>
        </w:rPr>
        <w:t xml:space="preserve">The weight loss in 5 cycles </w:t>
      </w:r>
      <w:r w:rsidR="00E27763" w:rsidRPr="0067752B">
        <w:rPr>
          <w:rFonts w:ascii="Arial" w:hAnsi="Arial" w:cs="Arial"/>
          <w:sz w:val="22"/>
          <w:szCs w:val="22"/>
        </w:rPr>
        <w:t xml:space="preserve">by use of sulfate </w:t>
      </w:r>
      <w:r w:rsidR="00B4563E" w:rsidRPr="0067752B">
        <w:rPr>
          <w:rFonts w:ascii="Arial" w:hAnsi="Arial" w:cs="Arial"/>
          <w:sz w:val="22"/>
          <w:szCs w:val="22"/>
        </w:rPr>
        <w:t xml:space="preserve">soundness testing </w:t>
      </w:r>
      <w:r w:rsidR="006B0465" w:rsidRPr="0067752B">
        <w:rPr>
          <w:rFonts w:ascii="Arial" w:hAnsi="Arial" w:cs="Arial"/>
          <w:sz w:val="22"/>
          <w:szCs w:val="22"/>
        </w:rPr>
        <w:t xml:space="preserve">must not exceed 10 percent </w:t>
      </w:r>
      <w:r w:rsidR="001773DA" w:rsidRPr="0067752B">
        <w:rPr>
          <w:rFonts w:ascii="Arial" w:hAnsi="Arial" w:cs="Arial"/>
          <w:sz w:val="22"/>
          <w:szCs w:val="22"/>
        </w:rPr>
        <w:t xml:space="preserve">in accordance with </w:t>
      </w:r>
      <w:r w:rsidR="006B0465" w:rsidRPr="0067752B">
        <w:rPr>
          <w:rFonts w:ascii="Arial" w:hAnsi="Arial" w:cs="Arial"/>
          <w:i/>
          <w:sz w:val="22"/>
          <w:szCs w:val="22"/>
        </w:rPr>
        <w:t>ASTM D5240</w:t>
      </w:r>
      <w:r w:rsidR="00471923" w:rsidRPr="0067752B">
        <w:rPr>
          <w:rFonts w:ascii="Arial" w:hAnsi="Arial" w:cs="Arial"/>
          <w:i/>
          <w:sz w:val="22"/>
          <w:szCs w:val="22"/>
        </w:rPr>
        <w:t>/D5240M</w:t>
      </w:r>
      <w:r w:rsidR="006B0465" w:rsidRPr="0067752B">
        <w:rPr>
          <w:rFonts w:ascii="Arial" w:hAnsi="Arial" w:cs="Arial"/>
          <w:sz w:val="22"/>
          <w:szCs w:val="22"/>
        </w:rPr>
        <w:t xml:space="preserve">.  </w:t>
      </w:r>
      <w:r w:rsidRPr="0067752B">
        <w:rPr>
          <w:rFonts w:ascii="Arial" w:hAnsi="Arial" w:cs="Arial"/>
          <w:sz w:val="22"/>
          <w:szCs w:val="22"/>
        </w:rPr>
        <w:t xml:space="preserve">The ratio </w:t>
      </w:r>
      <w:r w:rsidR="001263A6" w:rsidRPr="0067752B">
        <w:rPr>
          <w:rFonts w:ascii="Arial" w:hAnsi="Arial" w:cs="Arial"/>
          <w:sz w:val="22"/>
          <w:szCs w:val="22"/>
        </w:rPr>
        <w:t>of the greatest (axis A) to least (axis C) dimension</w:t>
      </w:r>
      <w:r w:rsidRPr="0067752B">
        <w:rPr>
          <w:rFonts w:ascii="Arial" w:hAnsi="Arial" w:cs="Arial"/>
          <w:sz w:val="22"/>
          <w:szCs w:val="22"/>
        </w:rPr>
        <w:t xml:space="preserve"> </w:t>
      </w:r>
      <w:r w:rsidR="001420AD" w:rsidRPr="0067752B">
        <w:rPr>
          <w:rFonts w:ascii="Arial" w:hAnsi="Arial" w:cs="Arial"/>
          <w:sz w:val="22"/>
          <w:szCs w:val="22"/>
        </w:rPr>
        <w:t xml:space="preserve">must </w:t>
      </w:r>
      <w:r w:rsidRPr="0067752B">
        <w:rPr>
          <w:rFonts w:ascii="Arial" w:hAnsi="Arial" w:cs="Arial"/>
          <w:sz w:val="22"/>
          <w:szCs w:val="22"/>
        </w:rPr>
        <w:t xml:space="preserve">not exceed 3:1 for </w:t>
      </w:r>
      <w:r w:rsidR="00D221DC" w:rsidRPr="0067752B">
        <w:rPr>
          <w:rFonts w:ascii="Arial" w:hAnsi="Arial" w:cs="Arial"/>
          <w:sz w:val="22"/>
          <w:szCs w:val="22"/>
        </w:rPr>
        <w:t>98</w:t>
      </w:r>
      <w:r w:rsidR="006F0F4C" w:rsidRPr="0067752B">
        <w:rPr>
          <w:rFonts w:ascii="Arial" w:hAnsi="Arial" w:cs="Arial"/>
          <w:sz w:val="22"/>
          <w:szCs w:val="22"/>
        </w:rPr>
        <w:t xml:space="preserve"> percent</w:t>
      </w:r>
      <w:r w:rsidR="00D221DC" w:rsidRPr="0067752B">
        <w:rPr>
          <w:rFonts w:ascii="Arial" w:hAnsi="Arial" w:cs="Arial"/>
          <w:sz w:val="22"/>
          <w:szCs w:val="22"/>
        </w:rPr>
        <w:t xml:space="preserve"> of</w:t>
      </w:r>
      <w:r w:rsidR="00D164D7" w:rsidRPr="0067752B">
        <w:rPr>
          <w:rFonts w:ascii="Arial" w:hAnsi="Arial" w:cs="Arial"/>
          <w:sz w:val="22"/>
          <w:szCs w:val="22"/>
        </w:rPr>
        <w:t xml:space="preserve"> the </w:t>
      </w:r>
      <w:r w:rsidR="006B6665">
        <w:rPr>
          <w:rFonts w:ascii="Arial" w:hAnsi="Arial" w:cs="Arial"/>
          <w:sz w:val="22"/>
          <w:szCs w:val="22"/>
        </w:rPr>
        <w:t>A</w:t>
      </w:r>
      <w:r w:rsidR="00A64D93">
        <w:rPr>
          <w:rFonts w:ascii="Arial" w:hAnsi="Arial" w:cs="Arial"/>
          <w:sz w:val="22"/>
          <w:szCs w:val="22"/>
        </w:rPr>
        <w:t xml:space="preserve">rmor </w:t>
      </w:r>
      <w:r w:rsidR="006B6665">
        <w:rPr>
          <w:rFonts w:ascii="Arial" w:hAnsi="Arial" w:cs="Arial"/>
          <w:sz w:val="22"/>
          <w:szCs w:val="22"/>
        </w:rPr>
        <w:t>S</w:t>
      </w:r>
      <w:r w:rsidR="00D164D7" w:rsidRPr="0067752B">
        <w:rPr>
          <w:rFonts w:ascii="Arial" w:hAnsi="Arial" w:cs="Arial"/>
          <w:sz w:val="22"/>
          <w:szCs w:val="22"/>
        </w:rPr>
        <w:t xml:space="preserve">tone </w:t>
      </w:r>
      <w:r w:rsidR="006B6665">
        <w:rPr>
          <w:rFonts w:ascii="Arial" w:hAnsi="Arial" w:cs="Arial"/>
          <w:sz w:val="22"/>
          <w:szCs w:val="22"/>
        </w:rPr>
        <w:t>and 90 percent of the Stone Underlayer</w:t>
      </w:r>
      <w:r w:rsidR="002E2131">
        <w:rPr>
          <w:rFonts w:ascii="Arial" w:hAnsi="Arial" w:cs="Arial"/>
          <w:sz w:val="22"/>
          <w:szCs w:val="22"/>
        </w:rPr>
        <w:t xml:space="preserve"> </w:t>
      </w:r>
      <w:r w:rsidR="002E2131" w:rsidRPr="0067752B">
        <w:rPr>
          <w:rFonts w:ascii="Arial" w:hAnsi="Arial" w:cs="Arial"/>
          <w:sz w:val="22"/>
          <w:szCs w:val="22"/>
        </w:rPr>
        <w:t>delivered to the project site</w:t>
      </w:r>
      <w:r w:rsidR="001263A6" w:rsidRPr="0067752B">
        <w:rPr>
          <w:rFonts w:ascii="Arial" w:hAnsi="Arial" w:cs="Arial"/>
          <w:sz w:val="22"/>
          <w:szCs w:val="22"/>
        </w:rPr>
        <w:t xml:space="preserve"> as de</w:t>
      </w:r>
      <w:r w:rsidR="007E0DDA" w:rsidRPr="0067752B">
        <w:rPr>
          <w:rFonts w:ascii="Arial" w:hAnsi="Arial" w:cs="Arial"/>
          <w:sz w:val="22"/>
          <w:szCs w:val="22"/>
        </w:rPr>
        <w:t>picted</w:t>
      </w:r>
      <w:r w:rsidR="001263A6" w:rsidRPr="0067752B">
        <w:rPr>
          <w:rFonts w:ascii="Arial" w:hAnsi="Arial" w:cs="Arial"/>
          <w:sz w:val="22"/>
          <w:szCs w:val="22"/>
        </w:rPr>
        <w:t xml:space="preserve"> in Figure 1 below</w:t>
      </w:r>
      <w:r w:rsidRPr="0067752B">
        <w:rPr>
          <w:rFonts w:ascii="Arial" w:hAnsi="Arial" w:cs="Arial"/>
          <w:sz w:val="22"/>
          <w:szCs w:val="22"/>
        </w:rPr>
        <w:t>.</w:t>
      </w:r>
    </w:p>
    <w:p w14:paraId="0C30CDB9" w14:textId="77777777" w:rsidR="005A6386" w:rsidRPr="0067752B" w:rsidRDefault="005A6386" w:rsidP="0067752B">
      <w:pPr>
        <w:jc w:val="both"/>
        <w:rPr>
          <w:rFonts w:ascii="Arial" w:hAnsi="Arial" w:cs="Arial"/>
          <w:sz w:val="22"/>
          <w:szCs w:val="22"/>
        </w:rPr>
      </w:pPr>
    </w:p>
    <w:p w14:paraId="4750F618" w14:textId="77777777" w:rsidR="005A6386" w:rsidRPr="0067752B" w:rsidRDefault="001F063B" w:rsidP="0067752B">
      <w:pPr>
        <w:ind w:firstLine="360"/>
        <w:jc w:val="center"/>
        <w:rPr>
          <w:rFonts w:ascii="Arial" w:hAnsi="Arial" w:cs="Arial"/>
          <w:noProof/>
        </w:rPr>
      </w:pPr>
      <w:r w:rsidRPr="0067752B">
        <w:rPr>
          <w:rFonts w:ascii="Arial" w:hAnsi="Arial" w:cs="Arial"/>
          <w:noProof/>
        </w:rPr>
        <w:drawing>
          <wp:inline distT="0" distB="0" distL="0" distR="0" wp14:anchorId="3E6FF141" wp14:editId="6787249A">
            <wp:extent cx="3107690" cy="1179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DBFED" w14:textId="4F344B4E" w:rsidR="005A6386" w:rsidRPr="0067752B" w:rsidRDefault="005A6386" w:rsidP="0067752B">
      <w:pPr>
        <w:ind w:firstLine="360"/>
        <w:jc w:val="center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noProof/>
          <w:sz w:val="22"/>
          <w:szCs w:val="22"/>
        </w:rPr>
        <w:t>Figure 1</w:t>
      </w:r>
      <w:r w:rsidR="00B65604" w:rsidRPr="0067752B">
        <w:rPr>
          <w:rFonts w:ascii="Arial" w:hAnsi="Arial" w:cs="Arial"/>
          <w:noProof/>
          <w:sz w:val="22"/>
          <w:szCs w:val="22"/>
        </w:rPr>
        <w:t>:</w:t>
      </w:r>
      <w:r w:rsidRPr="0067752B">
        <w:rPr>
          <w:rFonts w:ascii="Arial" w:hAnsi="Arial" w:cs="Arial"/>
          <w:noProof/>
          <w:sz w:val="22"/>
          <w:szCs w:val="22"/>
        </w:rPr>
        <w:t xml:space="preserve">  Riprap shape de</w:t>
      </w:r>
      <w:r w:rsidR="006B32BC" w:rsidRPr="0067752B">
        <w:rPr>
          <w:rFonts w:ascii="Arial" w:hAnsi="Arial" w:cs="Arial"/>
          <w:noProof/>
          <w:sz w:val="22"/>
          <w:szCs w:val="22"/>
        </w:rPr>
        <w:t>picting</w:t>
      </w:r>
      <w:r w:rsidRPr="0067752B">
        <w:rPr>
          <w:rFonts w:ascii="Arial" w:hAnsi="Arial" w:cs="Arial"/>
          <w:noProof/>
          <w:sz w:val="22"/>
          <w:szCs w:val="22"/>
        </w:rPr>
        <w:t xml:space="preserve"> </w:t>
      </w:r>
      <w:r w:rsidR="007E0DDA" w:rsidRPr="0067752B">
        <w:rPr>
          <w:rFonts w:ascii="Arial" w:hAnsi="Arial" w:cs="Arial"/>
          <w:noProof/>
          <w:sz w:val="22"/>
          <w:szCs w:val="22"/>
        </w:rPr>
        <w:t>A, B and C</w:t>
      </w:r>
      <w:r w:rsidR="006B32BC" w:rsidRPr="0067752B">
        <w:rPr>
          <w:rFonts w:ascii="Arial" w:hAnsi="Arial" w:cs="Arial"/>
          <w:noProof/>
          <w:sz w:val="22"/>
          <w:szCs w:val="22"/>
        </w:rPr>
        <w:t xml:space="preserve"> axis</w:t>
      </w:r>
    </w:p>
    <w:p w14:paraId="43B80C6D" w14:textId="77777777" w:rsidR="00480606" w:rsidRPr="0067752B" w:rsidRDefault="00480606" w:rsidP="0067752B">
      <w:pPr>
        <w:jc w:val="both"/>
        <w:rPr>
          <w:rFonts w:ascii="Arial" w:hAnsi="Arial" w:cs="Arial"/>
          <w:sz w:val="22"/>
          <w:szCs w:val="22"/>
        </w:rPr>
      </w:pPr>
    </w:p>
    <w:p w14:paraId="06C17962" w14:textId="5B43EFE8" w:rsidR="00480606" w:rsidRPr="0067752B" w:rsidRDefault="00C07AAD" w:rsidP="0067752B">
      <w:pPr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>Ensure t</w:t>
      </w:r>
      <w:r w:rsidR="00480606" w:rsidRPr="0067752B">
        <w:rPr>
          <w:rFonts w:ascii="Arial" w:hAnsi="Arial" w:cs="Arial"/>
          <w:sz w:val="22"/>
          <w:szCs w:val="22"/>
        </w:rPr>
        <w:t>he gradation</w:t>
      </w:r>
      <w:r w:rsidR="0069078F" w:rsidRPr="0067752B">
        <w:rPr>
          <w:rFonts w:ascii="Arial" w:hAnsi="Arial" w:cs="Arial"/>
          <w:sz w:val="22"/>
          <w:szCs w:val="22"/>
        </w:rPr>
        <w:t xml:space="preserve"> for Armor Stone</w:t>
      </w:r>
      <w:r w:rsidR="00480606" w:rsidRPr="0067752B">
        <w:rPr>
          <w:rFonts w:ascii="Arial" w:hAnsi="Arial" w:cs="Arial"/>
          <w:sz w:val="22"/>
          <w:szCs w:val="22"/>
        </w:rPr>
        <w:t xml:space="preserve"> </w:t>
      </w:r>
      <w:r w:rsidR="00DD1E0A" w:rsidRPr="0067752B">
        <w:rPr>
          <w:rFonts w:ascii="Arial" w:hAnsi="Arial" w:cs="Arial"/>
          <w:sz w:val="22"/>
          <w:szCs w:val="22"/>
        </w:rPr>
        <w:t xml:space="preserve">and Stone Underlayer </w:t>
      </w:r>
      <w:r w:rsidR="00480606" w:rsidRPr="0067752B">
        <w:rPr>
          <w:rFonts w:ascii="Arial" w:hAnsi="Arial" w:cs="Arial"/>
          <w:sz w:val="22"/>
          <w:szCs w:val="22"/>
        </w:rPr>
        <w:t>meet</w:t>
      </w:r>
      <w:r w:rsidRPr="0067752B">
        <w:rPr>
          <w:rFonts w:ascii="Arial" w:hAnsi="Arial" w:cs="Arial"/>
          <w:sz w:val="22"/>
          <w:szCs w:val="22"/>
        </w:rPr>
        <w:t>s</w:t>
      </w:r>
      <w:r w:rsidR="00480606" w:rsidRPr="0067752B">
        <w:rPr>
          <w:rFonts w:ascii="Arial" w:hAnsi="Arial" w:cs="Arial"/>
          <w:sz w:val="22"/>
          <w:szCs w:val="22"/>
        </w:rPr>
        <w:t xml:space="preserve"> the requirements specified in </w:t>
      </w:r>
      <w:r w:rsidR="00480606" w:rsidRPr="0067752B">
        <w:rPr>
          <w:rFonts w:ascii="Arial" w:hAnsi="Arial" w:cs="Arial"/>
          <w:bCs/>
          <w:sz w:val="22"/>
          <w:szCs w:val="22"/>
        </w:rPr>
        <w:t>Table 1</w:t>
      </w:r>
      <w:r w:rsidR="00DD1E0A" w:rsidRPr="0067752B">
        <w:rPr>
          <w:rFonts w:ascii="Arial" w:hAnsi="Arial" w:cs="Arial"/>
          <w:bCs/>
          <w:sz w:val="22"/>
          <w:szCs w:val="22"/>
        </w:rPr>
        <w:t xml:space="preserve"> and Table 2, respectively</w:t>
      </w:r>
      <w:r w:rsidR="001420AD" w:rsidRPr="0067752B">
        <w:rPr>
          <w:rFonts w:ascii="Arial" w:hAnsi="Arial" w:cs="Arial"/>
          <w:sz w:val="22"/>
          <w:szCs w:val="22"/>
        </w:rPr>
        <w:t xml:space="preserve"> </w:t>
      </w:r>
      <w:r w:rsidRPr="0067752B">
        <w:rPr>
          <w:rFonts w:ascii="Arial" w:hAnsi="Arial" w:cs="Arial"/>
          <w:sz w:val="22"/>
          <w:szCs w:val="22"/>
        </w:rPr>
        <w:t>herein</w:t>
      </w:r>
      <w:r w:rsidR="00480606" w:rsidRPr="0067752B">
        <w:rPr>
          <w:rFonts w:ascii="Arial" w:hAnsi="Arial" w:cs="Arial"/>
          <w:sz w:val="22"/>
          <w:szCs w:val="22"/>
        </w:rPr>
        <w:t xml:space="preserve">.  </w:t>
      </w:r>
      <w:r w:rsidR="001C5F64" w:rsidRPr="0067752B">
        <w:rPr>
          <w:rFonts w:ascii="Arial" w:hAnsi="Arial" w:cs="Arial"/>
          <w:sz w:val="22"/>
          <w:szCs w:val="22"/>
        </w:rPr>
        <w:t xml:space="preserve">The basis of acceptance of the </w:t>
      </w:r>
      <w:r w:rsidR="001637D4" w:rsidRPr="0067752B">
        <w:rPr>
          <w:rFonts w:ascii="Arial" w:hAnsi="Arial" w:cs="Arial"/>
          <w:sz w:val="22"/>
          <w:szCs w:val="22"/>
        </w:rPr>
        <w:t xml:space="preserve">stone </w:t>
      </w:r>
      <w:r w:rsidR="001C5F64" w:rsidRPr="0067752B">
        <w:rPr>
          <w:rFonts w:ascii="Arial" w:hAnsi="Arial" w:cs="Arial"/>
          <w:sz w:val="22"/>
          <w:szCs w:val="22"/>
        </w:rPr>
        <w:t xml:space="preserve">riprap will be </w:t>
      </w:r>
      <w:r w:rsidR="00764854" w:rsidRPr="0067752B">
        <w:rPr>
          <w:rFonts w:ascii="Arial" w:hAnsi="Arial" w:cs="Arial"/>
          <w:sz w:val="22"/>
          <w:szCs w:val="22"/>
        </w:rPr>
        <w:t>T</w:t>
      </w:r>
      <w:r w:rsidR="001C5F64" w:rsidRPr="0067752B">
        <w:rPr>
          <w:rFonts w:ascii="Arial" w:hAnsi="Arial" w:cs="Arial"/>
          <w:sz w:val="22"/>
          <w:szCs w:val="22"/>
        </w:rPr>
        <w:t xml:space="preserve">est </w:t>
      </w:r>
      <w:r w:rsidR="00764854" w:rsidRPr="0067752B">
        <w:rPr>
          <w:rFonts w:ascii="Arial" w:hAnsi="Arial" w:cs="Arial"/>
          <w:sz w:val="22"/>
          <w:szCs w:val="22"/>
        </w:rPr>
        <w:t>D</w:t>
      </w:r>
      <w:r w:rsidR="001C5F64" w:rsidRPr="0067752B">
        <w:rPr>
          <w:rFonts w:ascii="Arial" w:hAnsi="Arial" w:cs="Arial"/>
          <w:sz w:val="22"/>
          <w:szCs w:val="22"/>
        </w:rPr>
        <w:t xml:space="preserve">ata </w:t>
      </w:r>
      <w:r w:rsidR="00764854" w:rsidRPr="0067752B">
        <w:rPr>
          <w:rFonts w:ascii="Arial" w:hAnsi="Arial" w:cs="Arial"/>
          <w:sz w:val="22"/>
          <w:szCs w:val="22"/>
        </w:rPr>
        <w:t>C</w:t>
      </w:r>
      <w:r w:rsidR="001C5F64" w:rsidRPr="0067752B">
        <w:rPr>
          <w:rFonts w:ascii="Arial" w:hAnsi="Arial" w:cs="Arial"/>
          <w:sz w:val="22"/>
          <w:szCs w:val="22"/>
        </w:rPr>
        <w:t>ertification.  However, a</w:t>
      </w:r>
      <w:r w:rsidR="00480606" w:rsidRPr="0067752B">
        <w:rPr>
          <w:rFonts w:ascii="Arial" w:hAnsi="Arial" w:cs="Arial"/>
          <w:sz w:val="22"/>
          <w:szCs w:val="22"/>
        </w:rPr>
        <w:t xml:space="preserve">cceptance of the </w:t>
      </w:r>
      <w:r w:rsidR="008E11B7" w:rsidRPr="0067752B">
        <w:rPr>
          <w:rFonts w:ascii="Arial" w:hAnsi="Arial" w:cs="Arial"/>
          <w:sz w:val="22"/>
          <w:szCs w:val="22"/>
        </w:rPr>
        <w:t xml:space="preserve">armor stone </w:t>
      </w:r>
      <w:r w:rsidR="00C17ECF" w:rsidRPr="0067752B">
        <w:rPr>
          <w:rFonts w:ascii="Arial" w:hAnsi="Arial" w:cs="Arial"/>
          <w:sz w:val="22"/>
          <w:szCs w:val="22"/>
        </w:rPr>
        <w:t xml:space="preserve">riprap </w:t>
      </w:r>
      <w:r w:rsidR="00480606" w:rsidRPr="0067752B">
        <w:rPr>
          <w:rFonts w:ascii="Arial" w:hAnsi="Arial" w:cs="Arial"/>
          <w:sz w:val="22"/>
          <w:szCs w:val="22"/>
        </w:rPr>
        <w:t>gradation will be based on visual inspection by the Engineer</w:t>
      </w:r>
      <w:r w:rsidR="008E11B7" w:rsidRPr="0067752B">
        <w:rPr>
          <w:rFonts w:ascii="Arial" w:hAnsi="Arial" w:cs="Arial"/>
          <w:sz w:val="22"/>
          <w:szCs w:val="22"/>
        </w:rPr>
        <w:t xml:space="preserve"> using the </w:t>
      </w:r>
      <w:r w:rsidR="00240DAA" w:rsidRPr="0067752B">
        <w:rPr>
          <w:rFonts w:ascii="Arial" w:hAnsi="Arial" w:cs="Arial"/>
          <w:sz w:val="22"/>
          <w:szCs w:val="22"/>
        </w:rPr>
        <w:t>W</w:t>
      </w:r>
      <w:r w:rsidR="008E11B7" w:rsidRPr="0067752B">
        <w:rPr>
          <w:rFonts w:ascii="Arial" w:hAnsi="Arial" w:cs="Arial"/>
          <w:sz w:val="22"/>
          <w:szCs w:val="22"/>
        </w:rPr>
        <w:t>olman Count method</w:t>
      </w:r>
      <w:r w:rsidR="00B95937" w:rsidRPr="0067752B">
        <w:rPr>
          <w:rFonts w:ascii="Arial" w:hAnsi="Arial" w:cs="Arial"/>
          <w:sz w:val="22"/>
          <w:szCs w:val="22"/>
        </w:rPr>
        <w:t xml:space="preserve"> (</w:t>
      </w:r>
      <w:r w:rsidR="00CB72BC" w:rsidRPr="0067752B">
        <w:rPr>
          <w:rFonts w:ascii="Arial" w:hAnsi="Arial" w:cs="Arial"/>
          <w:i/>
          <w:iCs/>
          <w:sz w:val="22"/>
          <w:szCs w:val="22"/>
        </w:rPr>
        <w:t>Federal Lands Highway Test Method 521</w:t>
      </w:r>
      <w:r w:rsidR="00CB72BC" w:rsidRPr="0067752B">
        <w:rPr>
          <w:rFonts w:ascii="Arial" w:hAnsi="Arial" w:cs="Arial"/>
          <w:sz w:val="22"/>
          <w:szCs w:val="22"/>
        </w:rPr>
        <w:t>)</w:t>
      </w:r>
      <w:r w:rsidR="00480606" w:rsidRPr="0067752B">
        <w:rPr>
          <w:rFonts w:ascii="Arial" w:hAnsi="Arial" w:cs="Arial"/>
          <w:sz w:val="22"/>
          <w:szCs w:val="22"/>
        </w:rPr>
        <w:t>.</w:t>
      </w:r>
      <w:r w:rsidR="00B95937" w:rsidRPr="0067752B">
        <w:rPr>
          <w:rFonts w:ascii="Arial" w:hAnsi="Arial" w:cs="Arial"/>
          <w:sz w:val="22"/>
          <w:szCs w:val="22"/>
        </w:rPr>
        <w:t xml:space="preserve">  The </w:t>
      </w:r>
      <w:r w:rsidR="00471923" w:rsidRPr="0067752B">
        <w:rPr>
          <w:rFonts w:ascii="Arial" w:hAnsi="Arial" w:cs="Arial"/>
          <w:sz w:val="22"/>
          <w:szCs w:val="22"/>
        </w:rPr>
        <w:t>C</w:t>
      </w:r>
      <w:r w:rsidR="00B95937" w:rsidRPr="0067752B">
        <w:rPr>
          <w:rFonts w:ascii="Arial" w:hAnsi="Arial" w:cs="Arial"/>
          <w:sz w:val="22"/>
          <w:szCs w:val="22"/>
        </w:rPr>
        <w:t>ontractor and/or the supplier must assist with the Wolman Count as requested by the Engineer.</w:t>
      </w:r>
    </w:p>
    <w:p w14:paraId="475A5887" w14:textId="5282AB20" w:rsidR="00471923" w:rsidRPr="0067752B" w:rsidRDefault="00471923" w:rsidP="0067752B">
      <w:p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br w:type="page"/>
      </w:r>
    </w:p>
    <w:p w14:paraId="49A320C2" w14:textId="038F7A81" w:rsidR="002635A5" w:rsidRPr="0067752B" w:rsidRDefault="002635A5" w:rsidP="0067752B">
      <w:pPr>
        <w:jc w:val="center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/>
          <w:bCs/>
          <w:sz w:val="22"/>
          <w:szCs w:val="22"/>
        </w:rPr>
        <w:lastRenderedPageBreak/>
        <w:t xml:space="preserve">Table 1:  </w:t>
      </w:r>
      <w:r w:rsidR="00764854" w:rsidRPr="0067752B">
        <w:rPr>
          <w:rFonts w:ascii="Arial" w:hAnsi="Arial" w:cs="Arial"/>
          <w:b/>
          <w:bCs/>
          <w:sz w:val="22"/>
          <w:szCs w:val="22"/>
        </w:rPr>
        <w:t xml:space="preserve">Individual Stone </w:t>
      </w:r>
      <w:r w:rsidRPr="0067752B">
        <w:rPr>
          <w:rFonts w:ascii="Arial" w:hAnsi="Arial" w:cs="Arial"/>
          <w:b/>
          <w:bCs/>
          <w:sz w:val="22"/>
          <w:szCs w:val="22"/>
        </w:rPr>
        <w:t xml:space="preserve">Gradation Requirements for </w:t>
      </w:r>
      <w:r w:rsidR="001F30D2" w:rsidRPr="0067752B">
        <w:rPr>
          <w:rFonts w:ascii="Arial" w:hAnsi="Arial" w:cs="Arial"/>
          <w:b/>
          <w:bCs/>
          <w:sz w:val="22"/>
          <w:szCs w:val="22"/>
        </w:rPr>
        <w:t xml:space="preserve">Armor </w:t>
      </w:r>
      <w:r w:rsidR="005B3A74" w:rsidRPr="0067752B">
        <w:rPr>
          <w:rFonts w:ascii="Arial" w:hAnsi="Arial" w:cs="Arial"/>
          <w:b/>
          <w:bCs/>
          <w:sz w:val="22"/>
          <w:szCs w:val="22"/>
        </w:rPr>
        <w:t>Stone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1710"/>
        <w:gridCol w:w="2070"/>
      </w:tblGrid>
      <w:tr w:rsidR="00F450B1" w:rsidRPr="0067752B" w14:paraId="2B91FDD8" w14:textId="77777777" w:rsidTr="000F0236">
        <w:trPr>
          <w:trHeight w:val="432"/>
          <w:jc w:val="center"/>
        </w:trPr>
        <w:tc>
          <w:tcPr>
            <w:tcW w:w="32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4A2FCC" w14:textId="77777777" w:rsidR="00F450B1" w:rsidRPr="0067752B" w:rsidRDefault="00F450B1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Size (inches) (a)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186579" w14:textId="08E48265" w:rsidR="00F450B1" w:rsidRPr="0067752B" w:rsidRDefault="00F450B1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Percent Smaller Than</w:t>
            </w:r>
          </w:p>
        </w:tc>
        <w:tc>
          <w:tcPr>
            <w:tcW w:w="20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F9ADEB" w14:textId="77777777" w:rsidR="00F450B1" w:rsidRPr="0067752B" w:rsidRDefault="00F450B1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Particle Weight Limit (pounds)</w:t>
            </w:r>
          </w:p>
        </w:tc>
      </w:tr>
      <w:tr w:rsidR="00D73D27" w:rsidRPr="0067752B" w14:paraId="053643C6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AC40969" w14:textId="58577025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5</w:t>
            </w:r>
            <w:r w:rsidR="00E837B5" w:rsidRPr="006775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0CA99D" w14:textId="77777777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AD3AA39" w14:textId="2D76259E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9,600</w:t>
            </w:r>
          </w:p>
        </w:tc>
      </w:tr>
      <w:tr w:rsidR="00D73D27" w:rsidRPr="0067752B" w14:paraId="45C74828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0DD2A819" w14:textId="288DE0A3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9434E6" w14:textId="77777777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BE621F" w14:textId="65EF9691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</w:tr>
      <w:tr w:rsidR="00D73D27" w:rsidRPr="0067752B" w14:paraId="3A793FB1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0927FAFB" w14:textId="33703236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21065323"/>
            <w:r w:rsidRPr="0067752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15E6DC" w14:textId="77777777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4642B0" w14:textId="72430CEB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2,400</w:t>
            </w:r>
          </w:p>
        </w:tc>
      </w:tr>
      <w:tr w:rsidR="00D73D27" w:rsidRPr="0067752B" w14:paraId="094F9642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6441BCCF" w14:textId="11538245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21065014"/>
            <w:bookmarkEnd w:id="1"/>
            <w:r w:rsidRPr="0067752B">
              <w:rPr>
                <w:rFonts w:ascii="Arial" w:hAnsi="Arial" w:cs="Arial"/>
                <w:sz w:val="20"/>
                <w:szCs w:val="20"/>
              </w:rPr>
              <w:t>2</w:t>
            </w:r>
            <w:r w:rsidR="00E837B5" w:rsidRPr="006775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434D64" w14:textId="25216FD4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4FC9793" w14:textId="4BB93DF3" w:rsidR="00D73D27" w:rsidRPr="0067752B" w:rsidRDefault="00D73D27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1,340</w:t>
            </w:r>
          </w:p>
        </w:tc>
      </w:tr>
      <w:tr w:rsidR="00D73D27" w:rsidRPr="0067752B" w14:paraId="0EEFB264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3D1DCFBC" w14:textId="1C8A658D" w:rsidR="00D73D27" w:rsidRPr="0067752B" w:rsidRDefault="00D73D27" w:rsidP="0067752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21065567"/>
            <w:r w:rsidRPr="0067752B">
              <w:rPr>
                <w:rFonts w:ascii="Arial" w:hAnsi="Arial" w:cs="Arial"/>
                <w:sz w:val="20"/>
                <w:szCs w:val="20"/>
              </w:rPr>
              <w:t>1</w:t>
            </w:r>
            <w:r w:rsidR="00E837B5" w:rsidRPr="006775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B73A7C" w14:textId="7232AC9C" w:rsidR="00D73D27" w:rsidRPr="0067752B" w:rsidDel="008249DE" w:rsidRDefault="00D73D27" w:rsidP="0067752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4B830E" w14:textId="046696A3" w:rsidR="00D73D27" w:rsidRPr="0067752B" w:rsidDel="008249DE" w:rsidRDefault="00D73D27" w:rsidP="0067752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bookmarkEnd w:id="2"/>
      <w:bookmarkEnd w:id="3"/>
      <w:tr w:rsidR="00F450B1" w:rsidRPr="0067752B" w14:paraId="754DB28C" w14:textId="77777777" w:rsidTr="000F0236">
        <w:trPr>
          <w:trHeight w:val="288"/>
          <w:jc w:val="center"/>
        </w:trPr>
        <w:tc>
          <w:tcPr>
            <w:tcW w:w="7015" w:type="dxa"/>
            <w:gridSpan w:val="3"/>
            <w:shd w:val="clear" w:color="auto" w:fill="auto"/>
            <w:vAlign w:val="center"/>
          </w:tcPr>
          <w:p w14:paraId="79CE2AD2" w14:textId="39028250" w:rsidR="00F450B1" w:rsidRPr="0067752B" w:rsidDel="008249DE" w:rsidRDefault="00F450B1" w:rsidP="0067752B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a.</w:t>
            </w:r>
            <w:r w:rsidRPr="0067752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67752B">
              <w:rPr>
                <w:rFonts w:ascii="Arial" w:hAnsi="Arial" w:cs="Arial"/>
                <w:sz w:val="20"/>
                <w:szCs w:val="20"/>
              </w:rPr>
              <w:t>Corresponds to the intermediate axis (B) in Figure 1.</w:t>
            </w:r>
          </w:p>
        </w:tc>
      </w:tr>
    </w:tbl>
    <w:p w14:paraId="7FF63D97" w14:textId="79658B5E" w:rsidR="002635A5" w:rsidRPr="0067752B" w:rsidRDefault="002635A5" w:rsidP="0067752B">
      <w:pPr>
        <w:jc w:val="both"/>
        <w:rPr>
          <w:rFonts w:ascii="Arial" w:hAnsi="Arial" w:cs="Arial"/>
          <w:sz w:val="22"/>
          <w:szCs w:val="22"/>
        </w:rPr>
      </w:pPr>
    </w:p>
    <w:p w14:paraId="3B12AB29" w14:textId="5FD63032" w:rsidR="00DD1E0A" w:rsidRPr="0067752B" w:rsidRDefault="00DD1E0A" w:rsidP="0067752B">
      <w:pPr>
        <w:jc w:val="center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/>
          <w:bCs/>
          <w:sz w:val="22"/>
          <w:szCs w:val="22"/>
        </w:rPr>
        <w:t>Table 2:  Individual Stone Gradation Requirements for Stone Underlayer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1710"/>
        <w:gridCol w:w="2070"/>
      </w:tblGrid>
      <w:tr w:rsidR="00DD1E0A" w:rsidRPr="0067752B" w14:paraId="06DB8FE8" w14:textId="77777777" w:rsidTr="000F0236">
        <w:trPr>
          <w:trHeight w:val="432"/>
          <w:jc w:val="center"/>
        </w:trPr>
        <w:tc>
          <w:tcPr>
            <w:tcW w:w="32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3D11BE" w14:textId="77777777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Size (inches) (a)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DE9BA8" w14:textId="77777777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Percent Smaller Than</w:t>
            </w:r>
          </w:p>
        </w:tc>
        <w:tc>
          <w:tcPr>
            <w:tcW w:w="20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0682FB" w14:textId="77777777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Particle Weight Limit (pounds)</w:t>
            </w:r>
          </w:p>
        </w:tc>
      </w:tr>
      <w:tr w:rsidR="00DD1E0A" w:rsidRPr="0067752B" w14:paraId="5FF56580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302C7E04" w14:textId="57444C6E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EB24EA" w14:textId="77777777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F3E719" w14:textId="453EEC9E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DD1E0A" w:rsidRPr="0067752B" w14:paraId="5043668F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6443BAE9" w14:textId="4553E73B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2</w:t>
            </w:r>
            <w:r w:rsidR="00E837B5" w:rsidRPr="006775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666D90" w14:textId="77777777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85FCE4" w14:textId="45CF74DF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DD1E0A" w:rsidRPr="0067752B" w14:paraId="3C796A14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44C24A79" w14:textId="03301495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AFEB95" w14:textId="77777777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3ED94FD" w14:textId="66F922DE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DD1E0A" w:rsidRPr="0067752B" w14:paraId="7C5D3C52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8E755A3" w14:textId="6811710C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1</w:t>
            </w:r>
            <w:r w:rsidR="00E837B5" w:rsidRPr="006775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CD15EB" w14:textId="77777777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FCED20E" w14:textId="30C6FE2F" w:rsidR="00DD1E0A" w:rsidRPr="0067752B" w:rsidRDefault="00DD1E0A" w:rsidP="0067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DD1E0A" w:rsidRPr="0067752B" w14:paraId="1F9C802B" w14:textId="77777777" w:rsidTr="000F0236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FE022CE" w14:textId="1D0124AD" w:rsidR="00DD1E0A" w:rsidRPr="0067752B" w:rsidRDefault="00E837B5" w:rsidP="0067752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A40CFA" w14:textId="77777777" w:rsidR="00DD1E0A" w:rsidRPr="0067752B" w:rsidDel="008249DE" w:rsidRDefault="00DD1E0A" w:rsidP="0067752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492D259" w14:textId="2ED6D3F0" w:rsidR="00DD1E0A" w:rsidRPr="0067752B" w:rsidDel="008249DE" w:rsidRDefault="00DD1E0A" w:rsidP="0067752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D1E0A" w:rsidRPr="0067752B" w14:paraId="26B80CAD" w14:textId="77777777" w:rsidTr="000F0236">
        <w:trPr>
          <w:trHeight w:val="288"/>
          <w:jc w:val="center"/>
        </w:trPr>
        <w:tc>
          <w:tcPr>
            <w:tcW w:w="7015" w:type="dxa"/>
            <w:gridSpan w:val="3"/>
            <w:shd w:val="clear" w:color="auto" w:fill="auto"/>
            <w:vAlign w:val="center"/>
          </w:tcPr>
          <w:p w14:paraId="51EDB14F" w14:textId="77777777" w:rsidR="00DD1E0A" w:rsidRPr="0067752B" w:rsidDel="008249DE" w:rsidRDefault="00DD1E0A" w:rsidP="0067752B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7752B">
              <w:rPr>
                <w:rFonts w:ascii="Arial" w:hAnsi="Arial" w:cs="Arial"/>
                <w:sz w:val="20"/>
                <w:szCs w:val="20"/>
              </w:rPr>
              <w:t>a.</w:t>
            </w:r>
            <w:r w:rsidRPr="0067752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67752B">
              <w:rPr>
                <w:rFonts w:ascii="Arial" w:hAnsi="Arial" w:cs="Arial"/>
                <w:sz w:val="20"/>
                <w:szCs w:val="20"/>
              </w:rPr>
              <w:t>Corresponds to the intermediate axis (B) in Figure 1.</w:t>
            </w:r>
          </w:p>
        </w:tc>
      </w:tr>
    </w:tbl>
    <w:p w14:paraId="380FD648" w14:textId="77777777" w:rsidR="00DD1E0A" w:rsidRPr="0067752B" w:rsidRDefault="00DD1E0A" w:rsidP="0067752B">
      <w:pPr>
        <w:jc w:val="both"/>
        <w:rPr>
          <w:rFonts w:ascii="Arial" w:hAnsi="Arial" w:cs="Arial"/>
          <w:sz w:val="22"/>
          <w:szCs w:val="22"/>
        </w:rPr>
      </w:pPr>
    </w:p>
    <w:p w14:paraId="70030829" w14:textId="39454A91" w:rsidR="00480606" w:rsidRPr="0067752B" w:rsidRDefault="00F626A5" w:rsidP="0067752B">
      <w:pPr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 xml:space="preserve">Ensure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="006B32BC" w:rsidRPr="0067752B">
        <w:rPr>
          <w:rFonts w:ascii="Arial" w:hAnsi="Arial" w:cs="Arial"/>
          <w:sz w:val="22"/>
          <w:szCs w:val="22"/>
        </w:rPr>
        <w:t>geotextile liner</w:t>
      </w:r>
      <w:r w:rsidR="00DC61D3" w:rsidRPr="0067752B">
        <w:rPr>
          <w:rFonts w:ascii="Arial" w:hAnsi="Arial" w:cs="Arial"/>
          <w:sz w:val="22"/>
          <w:szCs w:val="22"/>
        </w:rPr>
        <w:t xml:space="preserve"> is</w:t>
      </w:r>
      <w:r w:rsidR="006B32BC" w:rsidRPr="0067752B">
        <w:rPr>
          <w:rFonts w:ascii="Arial" w:hAnsi="Arial" w:cs="Arial"/>
          <w:sz w:val="22"/>
          <w:szCs w:val="22"/>
        </w:rPr>
        <w:t xml:space="preserve"> </w:t>
      </w:r>
      <w:r w:rsidR="00DC61D3" w:rsidRPr="0067752B">
        <w:rPr>
          <w:rFonts w:ascii="Arial" w:hAnsi="Arial" w:cs="Arial"/>
          <w:sz w:val="22"/>
          <w:szCs w:val="22"/>
        </w:rPr>
        <w:t xml:space="preserve">in accordance with </w:t>
      </w:r>
      <w:r w:rsidR="00C17ECF" w:rsidRPr="0067752B">
        <w:rPr>
          <w:rFonts w:ascii="Arial" w:hAnsi="Arial" w:cs="Arial"/>
          <w:sz w:val="22"/>
          <w:szCs w:val="22"/>
        </w:rPr>
        <w:t>s</w:t>
      </w:r>
      <w:r w:rsidR="00480606" w:rsidRPr="0067752B">
        <w:rPr>
          <w:rFonts w:ascii="Arial" w:hAnsi="Arial" w:cs="Arial"/>
          <w:sz w:val="22"/>
          <w:szCs w:val="22"/>
        </w:rPr>
        <w:t>ection 910 of the Standard Specifications for Construction.</w:t>
      </w:r>
      <w:r w:rsidR="006B32BC" w:rsidRPr="0067752B">
        <w:rPr>
          <w:rFonts w:ascii="Arial" w:hAnsi="Arial" w:cs="Arial"/>
          <w:sz w:val="22"/>
          <w:szCs w:val="22"/>
        </w:rPr>
        <w:t xml:space="preserve">  </w:t>
      </w:r>
      <w:r w:rsidR="006663E4" w:rsidRPr="0067752B">
        <w:rPr>
          <w:rFonts w:ascii="Arial" w:hAnsi="Arial" w:cs="Arial"/>
          <w:sz w:val="22"/>
          <w:szCs w:val="22"/>
        </w:rPr>
        <w:t xml:space="preserve">Furnish </w:t>
      </w:r>
      <w:r w:rsidR="003C7351" w:rsidRPr="0067752B">
        <w:rPr>
          <w:rFonts w:ascii="Arial" w:hAnsi="Arial" w:cs="Arial"/>
          <w:sz w:val="22"/>
          <w:szCs w:val="22"/>
        </w:rPr>
        <w:t xml:space="preserve">the Engineer a copy of the </w:t>
      </w:r>
      <w:r w:rsidR="00764854" w:rsidRPr="0067752B">
        <w:rPr>
          <w:rFonts w:ascii="Arial" w:hAnsi="Arial" w:cs="Arial"/>
          <w:sz w:val="22"/>
          <w:szCs w:val="22"/>
        </w:rPr>
        <w:t>T</w:t>
      </w:r>
      <w:r w:rsidR="003C7351" w:rsidRPr="0067752B">
        <w:rPr>
          <w:rFonts w:ascii="Arial" w:hAnsi="Arial" w:cs="Arial"/>
          <w:sz w:val="22"/>
          <w:szCs w:val="22"/>
        </w:rPr>
        <w:t xml:space="preserve">est </w:t>
      </w:r>
      <w:r w:rsidR="00764854" w:rsidRPr="0067752B">
        <w:rPr>
          <w:rFonts w:ascii="Arial" w:hAnsi="Arial" w:cs="Arial"/>
          <w:sz w:val="22"/>
          <w:szCs w:val="22"/>
        </w:rPr>
        <w:t>D</w:t>
      </w:r>
      <w:r w:rsidR="003C7351" w:rsidRPr="0067752B">
        <w:rPr>
          <w:rFonts w:ascii="Arial" w:hAnsi="Arial" w:cs="Arial"/>
          <w:sz w:val="22"/>
          <w:szCs w:val="22"/>
        </w:rPr>
        <w:t xml:space="preserve">ata </w:t>
      </w:r>
      <w:r w:rsidR="00764854" w:rsidRPr="0067752B">
        <w:rPr>
          <w:rFonts w:ascii="Arial" w:hAnsi="Arial" w:cs="Arial"/>
          <w:sz w:val="22"/>
          <w:szCs w:val="22"/>
        </w:rPr>
        <w:t>C</w:t>
      </w:r>
      <w:r w:rsidR="003C7351" w:rsidRPr="0067752B">
        <w:rPr>
          <w:rFonts w:ascii="Arial" w:hAnsi="Arial" w:cs="Arial"/>
          <w:sz w:val="22"/>
          <w:szCs w:val="22"/>
        </w:rPr>
        <w:t xml:space="preserve">ertification for the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="003C7351" w:rsidRPr="0067752B">
        <w:rPr>
          <w:rFonts w:ascii="Arial" w:hAnsi="Arial" w:cs="Arial"/>
          <w:sz w:val="22"/>
          <w:szCs w:val="22"/>
        </w:rPr>
        <w:t>geotextile liner before incorporating it into the project.</w:t>
      </w:r>
    </w:p>
    <w:p w14:paraId="3F5CF3EC" w14:textId="77777777" w:rsidR="00480606" w:rsidRPr="0067752B" w:rsidRDefault="00480606" w:rsidP="0067752B">
      <w:pPr>
        <w:jc w:val="both"/>
        <w:rPr>
          <w:rFonts w:ascii="Arial" w:hAnsi="Arial" w:cs="Arial"/>
          <w:sz w:val="22"/>
          <w:szCs w:val="22"/>
        </w:rPr>
      </w:pPr>
    </w:p>
    <w:p w14:paraId="6C067548" w14:textId="6E0A5B0E" w:rsidR="00480606" w:rsidRPr="0067752B" w:rsidRDefault="00480606" w:rsidP="0067752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/>
          <w:bCs/>
          <w:sz w:val="22"/>
          <w:szCs w:val="22"/>
        </w:rPr>
        <w:t>c.</w:t>
      </w:r>
      <w:r w:rsidRPr="0067752B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67752B">
        <w:rPr>
          <w:rFonts w:ascii="Arial" w:hAnsi="Arial" w:cs="Arial"/>
          <w:bCs/>
          <w:sz w:val="22"/>
          <w:szCs w:val="22"/>
        </w:rPr>
        <w:t xml:space="preserve">  P</w:t>
      </w:r>
      <w:r w:rsidRPr="0067752B">
        <w:rPr>
          <w:rFonts w:ascii="Arial" w:hAnsi="Arial" w:cs="Arial"/>
          <w:sz w:val="22"/>
          <w:szCs w:val="22"/>
        </w:rPr>
        <w:t xml:space="preserve">lace riprap in accordance with </w:t>
      </w:r>
      <w:r w:rsidR="00A15B7F" w:rsidRPr="0067752B">
        <w:rPr>
          <w:rFonts w:ascii="Arial" w:hAnsi="Arial" w:cs="Arial"/>
          <w:sz w:val="22"/>
          <w:szCs w:val="22"/>
        </w:rPr>
        <w:t>s</w:t>
      </w:r>
      <w:r w:rsidRPr="0067752B">
        <w:rPr>
          <w:rFonts w:ascii="Arial" w:hAnsi="Arial" w:cs="Arial"/>
          <w:sz w:val="22"/>
          <w:szCs w:val="22"/>
        </w:rPr>
        <w:t>ubsection 813.03</w:t>
      </w:r>
      <w:r w:rsidR="005F7516" w:rsidRPr="0067752B">
        <w:rPr>
          <w:rFonts w:ascii="Arial" w:hAnsi="Arial" w:cs="Arial"/>
          <w:sz w:val="22"/>
          <w:szCs w:val="22"/>
        </w:rPr>
        <w:t>.E</w:t>
      </w:r>
      <w:r w:rsidR="00C17ECF" w:rsidRPr="0067752B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Pr="0067752B">
        <w:rPr>
          <w:rFonts w:ascii="Arial" w:hAnsi="Arial" w:cs="Arial"/>
          <w:sz w:val="22"/>
          <w:szCs w:val="22"/>
        </w:rPr>
        <w:t>, on prepared grades to the elevations, thickness, and lateral limits as shown on the plans.  Clear areas to be protected by riprap of brush, trees, stumps</w:t>
      </w:r>
      <w:r w:rsidR="008B320B" w:rsidRPr="0067752B">
        <w:rPr>
          <w:rFonts w:ascii="Arial" w:hAnsi="Arial" w:cs="Arial"/>
          <w:sz w:val="22"/>
          <w:szCs w:val="22"/>
        </w:rPr>
        <w:t>,</w:t>
      </w:r>
      <w:r w:rsidRPr="0067752B">
        <w:rPr>
          <w:rFonts w:ascii="Arial" w:hAnsi="Arial" w:cs="Arial"/>
          <w:sz w:val="22"/>
          <w:szCs w:val="22"/>
        </w:rPr>
        <w:t xml:space="preserve"> debris</w:t>
      </w:r>
      <w:r w:rsidR="008B320B" w:rsidRPr="0067752B">
        <w:rPr>
          <w:rFonts w:ascii="Arial" w:hAnsi="Arial" w:cs="Arial"/>
          <w:sz w:val="22"/>
          <w:szCs w:val="22"/>
        </w:rPr>
        <w:t>, and surplus or unsuitable soil</w:t>
      </w:r>
      <w:r w:rsidRPr="0067752B">
        <w:rPr>
          <w:rFonts w:ascii="Arial" w:hAnsi="Arial" w:cs="Arial"/>
          <w:sz w:val="22"/>
          <w:szCs w:val="22"/>
        </w:rPr>
        <w:t xml:space="preserve">.  Shape and compact all grades to the required cross section.  </w:t>
      </w:r>
      <w:r w:rsidR="006663E4" w:rsidRPr="0067752B">
        <w:rPr>
          <w:rFonts w:ascii="Arial" w:hAnsi="Arial" w:cs="Arial"/>
          <w:sz w:val="22"/>
          <w:szCs w:val="22"/>
        </w:rPr>
        <w:t xml:space="preserve">Furnish </w:t>
      </w:r>
      <w:r w:rsidR="0020641D" w:rsidRPr="0067752B">
        <w:rPr>
          <w:rFonts w:ascii="Arial" w:hAnsi="Arial" w:cs="Arial"/>
          <w:sz w:val="22"/>
          <w:szCs w:val="22"/>
        </w:rPr>
        <w:t xml:space="preserve">the </w:t>
      </w:r>
      <w:r w:rsidR="0069078F" w:rsidRPr="0067752B">
        <w:rPr>
          <w:rFonts w:ascii="Arial" w:hAnsi="Arial" w:cs="Arial"/>
          <w:sz w:val="22"/>
          <w:szCs w:val="22"/>
        </w:rPr>
        <w:t>necessary shoring</w:t>
      </w:r>
      <w:r w:rsidR="0020641D" w:rsidRPr="0067752B">
        <w:rPr>
          <w:rFonts w:ascii="Arial" w:hAnsi="Arial" w:cs="Arial"/>
          <w:sz w:val="22"/>
          <w:szCs w:val="22"/>
        </w:rPr>
        <w:t xml:space="preserve"> </w:t>
      </w:r>
      <w:r w:rsidR="0069078F" w:rsidRPr="0067752B">
        <w:rPr>
          <w:rFonts w:ascii="Arial" w:hAnsi="Arial" w:cs="Arial"/>
          <w:sz w:val="22"/>
          <w:szCs w:val="22"/>
        </w:rPr>
        <w:t xml:space="preserve">to maintain a stable excavation when placing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="007507C3" w:rsidRPr="0067752B">
        <w:rPr>
          <w:rFonts w:ascii="Arial" w:hAnsi="Arial" w:cs="Arial"/>
          <w:sz w:val="22"/>
          <w:szCs w:val="22"/>
        </w:rPr>
        <w:t>geotextile liner</w:t>
      </w:r>
      <w:r w:rsidR="00D73D27" w:rsidRPr="0067752B">
        <w:rPr>
          <w:rFonts w:ascii="Arial" w:hAnsi="Arial" w:cs="Arial"/>
          <w:sz w:val="22"/>
          <w:szCs w:val="22"/>
        </w:rPr>
        <w:t xml:space="preserve"> </w:t>
      </w:r>
      <w:r w:rsidR="007507C3" w:rsidRPr="0067752B">
        <w:rPr>
          <w:rFonts w:ascii="Arial" w:hAnsi="Arial" w:cs="Arial"/>
          <w:sz w:val="22"/>
          <w:szCs w:val="22"/>
        </w:rPr>
        <w:t xml:space="preserve">and </w:t>
      </w:r>
      <w:r w:rsidR="0069078F" w:rsidRPr="0067752B">
        <w:rPr>
          <w:rFonts w:ascii="Arial" w:hAnsi="Arial" w:cs="Arial"/>
          <w:sz w:val="22"/>
          <w:szCs w:val="22"/>
        </w:rPr>
        <w:t xml:space="preserve">riprap below water.  </w:t>
      </w:r>
      <w:r w:rsidRPr="0067752B">
        <w:rPr>
          <w:rFonts w:ascii="Arial" w:hAnsi="Arial" w:cs="Arial"/>
          <w:sz w:val="22"/>
          <w:szCs w:val="22"/>
        </w:rPr>
        <w:t xml:space="preserve">Place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="001323CE" w:rsidRPr="0067752B">
        <w:rPr>
          <w:rFonts w:ascii="Arial" w:hAnsi="Arial" w:cs="Arial"/>
          <w:sz w:val="22"/>
          <w:szCs w:val="22"/>
        </w:rPr>
        <w:t>geotextile liner</w:t>
      </w:r>
      <w:r w:rsidRPr="0067752B">
        <w:rPr>
          <w:rFonts w:ascii="Arial" w:hAnsi="Arial" w:cs="Arial"/>
          <w:sz w:val="22"/>
          <w:szCs w:val="22"/>
        </w:rPr>
        <w:t xml:space="preserve"> on prepared grades</w:t>
      </w:r>
      <w:r w:rsidR="006663E4" w:rsidRPr="0067752B">
        <w:rPr>
          <w:rFonts w:ascii="Arial" w:hAnsi="Arial" w:cs="Arial"/>
          <w:sz w:val="22"/>
          <w:szCs w:val="22"/>
        </w:rPr>
        <w:t xml:space="preserve"> in </w:t>
      </w:r>
      <w:r w:rsidRPr="0067752B">
        <w:rPr>
          <w:rFonts w:ascii="Arial" w:hAnsi="Arial" w:cs="Arial"/>
          <w:sz w:val="22"/>
          <w:szCs w:val="22"/>
        </w:rPr>
        <w:t>accord</w:t>
      </w:r>
      <w:r w:rsidR="006663E4" w:rsidRPr="0067752B">
        <w:rPr>
          <w:rFonts w:ascii="Arial" w:hAnsi="Arial" w:cs="Arial"/>
          <w:sz w:val="22"/>
          <w:szCs w:val="22"/>
        </w:rPr>
        <w:t xml:space="preserve">ance with </w:t>
      </w:r>
      <w:r w:rsidRPr="0067752B">
        <w:rPr>
          <w:rFonts w:ascii="Arial" w:hAnsi="Arial" w:cs="Arial"/>
          <w:sz w:val="22"/>
          <w:szCs w:val="22"/>
        </w:rPr>
        <w:t xml:space="preserve">the </w:t>
      </w:r>
      <w:r w:rsidRPr="0067752B">
        <w:rPr>
          <w:rFonts w:ascii="Arial" w:hAnsi="Arial" w:cs="Arial"/>
          <w:i/>
          <w:iCs/>
          <w:sz w:val="22"/>
          <w:szCs w:val="22"/>
        </w:rPr>
        <w:t>Soil Erosion and Sedimentation Control Manual</w:t>
      </w:r>
      <w:r w:rsidRPr="0067752B">
        <w:rPr>
          <w:rFonts w:ascii="Arial" w:hAnsi="Arial" w:cs="Arial"/>
          <w:sz w:val="22"/>
          <w:szCs w:val="22"/>
        </w:rPr>
        <w:t xml:space="preserve">.  </w:t>
      </w:r>
      <w:r w:rsidR="00B65604" w:rsidRPr="0067752B">
        <w:rPr>
          <w:rFonts w:ascii="Arial" w:hAnsi="Arial" w:cs="Arial"/>
          <w:sz w:val="22"/>
          <w:szCs w:val="22"/>
        </w:rPr>
        <w:t>Ensure t</w:t>
      </w:r>
      <w:r w:rsidRPr="0067752B">
        <w:rPr>
          <w:rFonts w:ascii="Arial" w:hAnsi="Arial" w:cs="Arial"/>
          <w:sz w:val="22"/>
          <w:szCs w:val="22"/>
        </w:rPr>
        <w:t xml:space="preserve">he riprap installation </w:t>
      </w:r>
      <w:r w:rsidR="00B65604" w:rsidRPr="0067752B">
        <w:rPr>
          <w:rFonts w:ascii="Arial" w:hAnsi="Arial" w:cs="Arial"/>
          <w:sz w:val="22"/>
          <w:szCs w:val="22"/>
        </w:rPr>
        <w:t>does</w:t>
      </w:r>
      <w:r w:rsidR="001420AD" w:rsidRPr="0067752B">
        <w:rPr>
          <w:rFonts w:ascii="Arial" w:hAnsi="Arial" w:cs="Arial"/>
          <w:sz w:val="22"/>
          <w:szCs w:val="22"/>
        </w:rPr>
        <w:t xml:space="preserve"> </w:t>
      </w:r>
      <w:r w:rsidRPr="0067752B">
        <w:rPr>
          <w:rFonts w:ascii="Arial" w:hAnsi="Arial" w:cs="Arial"/>
          <w:sz w:val="22"/>
          <w:szCs w:val="22"/>
        </w:rPr>
        <w:t xml:space="preserve">not damage the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Pr="0067752B">
        <w:rPr>
          <w:rFonts w:ascii="Arial" w:hAnsi="Arial" w:cs="Arial"/>
          <w:sz w:val="22"/>
          <w:szCs w:val="22"/>
        </w:rPr>
        <w:t>geotextile liner.</w:t>
      </w:r>
      <w:r w:rsidR="00C17ECF" w:rsidRPr="0067752B">
        <w:rPr>
          <w:rFonts w:ascii="Arial" w:hAnsi="Arial" w:cs="Arial"/>
          <w:sz w:val="22"/>
          <w:szCs w:val="22"/>
        </w:rPr>
        <w:t xml:space="preserve">  </w:t>
      </w:r>
      <w:r w:rsidR="007507C3" w:rsidRPr="0067752B">
        <w:rPr>
          <w:rFonts w:ascii="Arial" w:hAnsi="Arial" w:cs="Arial"/>
          <w:sz w:val="22"/>
          <w:szCs w:val="22"/>
        </w:rPr>
        <w:t xml:space="preserve">Ensure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="007507C3" w:rsidRPr="0067752B">
        <w:rPr>
          <w:rFonts w:ascii="Arial" w:hAnsi="Arial" w:cs="Arial"/>
          <w:sz w:val="22"/>
          <w:szCs w:val="22"/>
        </w:rPr>
        <w:t xml:space="preserve">geotextile liner is placed in full length strips </w:t>
      </w:r>
      <w:r w:rsidR="0020641D" w:rsidRPr="0067752B">
        <w:rPr>
          <w:rFonts w:ascii="Arial" w:hAnsi="Arial" w:cs="Arial"/>
          <w:sz w:val="22"/>
          <w:szCs w:val="22"/>
        </w:rPr>
        <w:t xml:space="preserve">and in the direction </w:t>
      </w:r>
      <w:r w:rsidR="007507C3" w:rsidRPr="0067752B">
        <w:rPr>
          <w:rFonts w:ascii="Arial" w:hAnsi="Arial" w:cs="Arial"/>
          <w:sz w:val="22"/>
          <w:szCs w:val="22"/>
        </w:rPr>
        <w:t xml:space="preserve">as </w:t>
      </w:r>
      <w:r w:rsidR="001A3878" w:rsidRPr="0067752B">
        <w:rPr>
          <w:rFonts w:ascii="Arial" w:hAnsi="Arial" w:cs="Arial"/>
          <w:sz w:val="22"/>
          <w:szCs w:val="22"/>
        </w:rPr>
        <w:t>shown</w:t>
      </w:r>
      <w:r w:rsidR="007507C3" w:rsidRPr="0067752B">
        <w:rPr>
          <w:rFonts w:ascii="Arial" w:hAnsi="Arial" w:cs="Arial"/>
          <w:sz w:val="22"/>
          <w:szCs w:val="22"/>
        </w:rPr>
        <w:t xml:space="preserve"> on the plans.  </w:t>
      </w:r>
      <w:r w:rsidR="006663E4" w:rsidRPr="0067752B">
        <w:rPr>
          <w:rFonts w:ascii="Arial" w:hAnsi="Arial" w:cs="Arial"/>
          <w:sz w:val="22"/>
          <w:szCs w:val="22"/>
        </w:rPr>
        <w:t>Repair or remove and replace d</w:t>
      </w:r>
      <w:r w:rsidR="00C17ECF" w:rsidRPr="0067752B">
        <w:rPr>
          <w:rFonts w:ascii="Arial" w:hAnsi="Arial" w:cs="Arial"/>
          <w:sz w:val="22"/>
          <w:szCs w:val="22"/>
        </w:rPr>
        <w:t xml:space="preserve">amaged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="00C17ECF" w:rsidRPr="0067752B">
        <w:rPr>
          <w:rFonts w:ascii="Arial" w:hAnsi="Arial" w:cs="Arial"/>
          <w:sz w:val="22"/>
          <w:szCs w:val="22"/>
        </w:rPr>
        <w:t>geotextile liner as directed by the Engineer</w:t>
      </w:r>
      <w:r w:rsidR="00D2058E" w:rsidRPr="0067752B">
        <w:rPr>
          <w:rFonts w:ascii="Arial" w:hAnsi="Arial" w:cs="Arial"/>
          <w:sz w:val="22"/>
          <w:szCs w:val="22"/>
        </w:rPr>
        <w:t xml:space="preserve"> at no cost to the </w:t>
      </w:r>
      <w:r w:rsidR="00DC61D3" w:rsidRPr="0067752B">
        <w:rPr>
          <w:rFonts w:ascii="Arial" w:hAnsi="Arial" w:cs="Arial"/>
          <w:sz w:val="22"/>
          <w:szCs w:val="22"/>
        </w:rPr>
        <w:t>contract</w:t>
      </w:r>
      <w:r w:rsidR="00C17ECF" w:rsidRPr="0067752B">
        <w:rPr>
          <w:rFonts w:ascii="Arial" w:hAnsi="Arial" w:cs="Arial"/>
          <w:sz w:val="22"/>
          <w:szCs w:val="22"/>
        </w:rPr>
        <w:t>.</w:t>
      </w:r>
      <w:r w:rsidR="00D50998" w:rsidRPr="0067752B">
        <w:rPr>
          <w:rFonts w:ascii="Arial" w:hAnsi="Arial" w:cs="Arial"/>
          <w:sz w:val="22"/>
          <w:szCs w:val="22"/>
        </w:rPr>
        <w:t xml:space="preserve">  Construction equipment </w:t>
      </w:r>
      <w:r w:rsidR="00DC61D3" w:rsidRPr="0067752B">
        <w:rPr>
          <w:rFonts w:ascii="Arial" w:hAnsi="Arial" w:cs="Arial"/>
          <w:sz w:val="22"/>
          <w:szCs w:val="22"/>
        </w:rPr>
        <w:t xml:space="preserve">and vehicular traffic </w:t>
      </w:r>
      <w:r w:rsidR="00D50998" w:rsidRPr="0067752B">
        <w:rPr>
          <w:rFonts w:ascii="Arial" w:hAnsi="Arial" w:cs="Arial"/>
          <w:sz w:val="22"/>
          <w:szCs w:val="22"/>
        </w:rPr>
        <w:t xml:space="preserve">is not allowed </w:t>
      </w:r>
      <w:r w:rsidR="003F7515" w:rsidRPr="0067752B">
        <w:rPr>
          <w:rFonts w:ascii="Arial" w:hAnsi="Arial" w:cs="Arial"/>
          <w:sz w:val="22"/>
          <w:szCs w:val="22"/>
        </w:rPr>
        <w:t xml:space="preserve">directly </w:t>
      </w:r>
      <w:r w:rsidR="00D50998" w:rsidRPr="0067752B">
        <w:rPr>
          <w:rFonts w:ascii="Arial" w:hAnsi="Arial" w:cs="Arial"/>
          <w:sz w:val="22"/>
          <w:szCs w:val="22"/>
        </w:rPr>
        <w:t>on the geotextile.</w:t>
      </w:r>
    </w:p>
    <w:p w14:paraId="2C6427BD" w14:textId="77777777" w:rsidR="002A0812" w:rsidRPr="0067752B" w:rsidRDefault="002A0812" w:rsidP="0067752B">
      <w:pPr>
        <w:jc w:val="both"/>
        <w:rPr>
          <w:rFonts w:ascii="Arial" w:hAnsi="Arial" w:cs="Arial"/>
          <w:sz w:val="22"/>
          <w:szCs w:val="22"/>
        </w:rPr>
      </w:pPr>
    </w:p>
    <w:p w14:paraId="56F22B00" w14:textId="09A04386" w:rsidR="00480606" w:rsidRPr="0067752B" w:rsidRDefault="002A0812" w:rsidP="0067752B">
      <w:pPr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 xml:space="preserve">Once the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Pr="0067752B">
        <w:rPr>
          <w:rFonts w:ascii="Arial" w:hAnsi="Arial" w:cs="Arial"/>
          <w:sz w:val="22"/>
          <w:szCs w:val="22"/>
        </w:rPr>
        <w:t xml:space="preserve">geotextile liner is </w:t>
      </w:r>
      <w:r w:rsidR="003F7515" w:rsidRPr="0067752B">
        <w:rPr>
          <w:rFonts w:ascii="Arial" w:hAnsi="Arial" w:cs="Arial"/>
          <w:sz w:val="22"/>
          <w:szCs w:val="22"/>
        </w:rPr>
        <w:t>placed</w:t>
      </w:r>
      <w:r w:rsidR="00D50998" w:rsidRPr="0067752B">
        <w:rPr>
          <w:rFonts w:ascii="Arial" w:hAnsi="Arial" w:cs="Arial"/>
          <w:sz w:val="22"/>
          <w:szCs w:val="22"/>
        </w:rPr>
        <w:t xml:space="preserve">, </w:t>
      </w:r>
      <w:r w:rsidR="00382E11" w:rsidRPr="0067752B">
        <w:rPr>
          <w:rFonts w:ascii="Arial" w:hAnsi="Arial" w:cs="Arial"/>
          <w:sz w:val="22"/>
          <w:szCs w:val="22"/>
        </w:rPr>
        <w:t>construct</w:t>
      </w:r>
      <w:r w:rsidR="00D50998" w:rsidRPr="0067752B">
        <w:rPr>
          <w:rFonts w:ascii="Arial" w:hAnsi="Arial" w:cs="Arial"/>
          <w:sz w:val="22"/>
          <w:szCs w:val="22"/>
        </w:rPr>
        <w:t xml:space="preserve"> the Stone Underlayer as </w:t>
      </w:r>
      <w:r w:rsidR="00667510" w:rsidRPr="0067752B">
        <w:rPr>
          <w:rFonts w:ascii="Arial" w:hAnsi="Arial" w:cs="Arial"/>
          <w:sz w:val="22"/>
          <w:szCs w:val="22"/>
        </w:rPr>
        <w:t>shown</w:t>
      </w:r>
      <w:r w:rsidR="00D50998" w:rsidRPr="0067752B">
        <w:rPr>
          <w:rFonts w:ascii="Arial" w:hAnsi="Arial" w:cs="Arial"/>
          <w:sz w:val="22"/>
          <w:szCs w:val="22"/>
        </w:rPr>
        <w:t xml:space="preserve"> on the plans.  Place Armor Stone to the limits </w:t>
      </w:r>
      <w:r w:rsidR="00ED373B" w:rsidRPr="0067752B">
        <w:rPr>
          <w:rFonts w:ascii="Arial" w:hAnsi="Arial" w:cs="Arial"/>
          <w:sz w:val="22"/>
          <w:szCs w:val="22"/>
        </w:rPr>
        <w:t>shown</w:t>
      </w:r>
      <w:r w:rsidR="00D50998" w:rsidRPr="0067752B">
        <w:rPr>
          <w:rFonts w:ascii="Arial" w:hAnsi="Arial" w:cs="Arial"/>
          <w:sz w:val="22"/>
          <w:szCs w:val="22"/>
        </w:rPr>
        <w:t xml:space="preserve"> on the plans. </w:t>
      </w:r>
      <w:r w:rsidR="0020641D" w:rsidRPr="0067752B">
        <w:rPr>
          <w:rFonts w:ascii="Arial" w:hAnsi="Arial" w:cs="Arial"/>
          <w:sz w:val="22"/>
          <w:szCs w:val="22"/>
        </w:rPr>
        <w:t xml:space="preserve"> </w:t>
      </w:r>
      <w:r w:rsidR="00480606" w:rsidRPr="0067752B">
        <w:rPr>
          <w:rFonts w:ascii="Arial" w:hAnsi="Arial" w:cs="Arial"/>
          <w:sz w:val="22"/>
          <w:szCs w:val="22"/>
        </w:rPr>
        <w:t xml:space="preserve">Careful placement of riprap with a clam bucket or other approved method </w:t>
      </w:r>
      <w:r w:rsidR="001420AD" w:rsidRPr="0067752B">
        <w:rPr>
          <w:rFonts w:ascii="Arial" w:hAnsi="Arial" w:cs="Arial"/>
          <w:sz w:val="22"/>
          <w:szCs w:val="22"/>
        </w:rPr>
        <w:t>is</w:t>
      </w:r>
      <w:r w:rsidR="00480606" w:rsidRPr="0067752B">
        <w:rPr>
          <w:rFonts w:ascii="Arial" w:hAnsi="Arial" w:cs="Arial"/>
          <w:sz w:val="22"/>
          <w:szCs w:val="22"/>
        </w:rPr>
        <w:t xml:space="preserve"> required to assure that there is no damage to </w:t>
      </w:r>
      <w:r w:rsidR="007507C3" w:rsidRPr="0067752B">
        <w:rPr>
          <w:rFonts w:ascii="Arial" w:hAnsi="Arial" w:cs="Arial"/>
          <w:sz w:val="22"/>
          <w:szCs w:val="22"/>
        </w:rPr>
        <w:t xml:space="preserve">the </w:t>
      </w:r>
      <w:r w:rsidR="00D73D27" w:rsidRPr="0067752B">
        <w:rPr>
          <w:rFonts w:ascii="Arial" w:hAnsi="Arial" w:cs="Arial"/>
          <w:sz w:val="22"/>
          <w:szCs w:val="22"/>
        </w:rPr>
        <w:t xml:space="preserve">heavy </w:t>
      </w:r>
      <w:r w:rsidR="007507C3" w:rsidRPr="0067752B">
        <w:rPr>
          <w:rFonts w:ascii="Arial" w:hAnsi="Arial" w:cs="Arial"/>
          <w:sz w:val="22"/>
          <w:szCs w:val="22"/>
        </w:rPr>
        <w:t>geotextile</w:t>
      </w:r>
      <w:r w:rsidR="00D73D27" w:rsidRPr="0067752B">
        <w:rPr>
          <w:rFonts w:ascii="Arial" w:hAnsi="Arial" w:cs="Arial"/>
          <w:sz w:val="22"/>
          <w:szCs w:val="22"/>
        </w:rPr>
        <w:t xml:space="preserve"> liner</w:t>
      </w:r>
      <w:r w:rsidR="0020641D" w:rsidRPr="0067752B">
        <w:rPr>
          <w:rFonts w:ascii="Arial" w:hAnsi="Arial" w:cs="Arial"/>
          <w:sz w:val="22"/>
          <w:szCs w:val="22"/>
        </w:rPr>
        <w:t>.</w:t>
      </w:r>
      <w:r w:rsidR="00744E35" w:rsidRPr="0067752B">
        <w:rPr>
          <w:rFonts w:ascii="Arial" w:hAnsi="Arial" w:cs="Arial"/>
          <w:sz w:val="22"/>
          <w:szCs w:val="22"/>
        </w:rPr>
        <w:t xml:space="preserve">  Do not allow sand or other material to be placed with the stone.</w:t>
      </w:r>
    </w:p>
    <w:p w14:paraId="23687312" w14:textId="77777777" w:rsidR="00480606" w:rsidRPr="0067752B" w:rsidRDefault="00480606" w:rsidP="0067752B">
      <w:pPr>
        <w:jc w:val="both"/>
        <w:rPr>
          <w:rFonts w:ascii="Arial" w:hAnsi="Arial" w:cs="Arial"/>
          <w:sz w:val="22"/>
          <w:szCs w:val="22"/>
        </w:rPr>
      </w:pPr>
    </w:p>
    <w:p w14:paraId="79134BBB" w14:textId="39F8B411" w:rsidR="00480606" w:rsidRPr="0067752B" w:rsidRDefault="00480606" w:rsidP="0067752B">
      <w:pPr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 xml:space="preserve">On slopes, placement of riprap stone </w:t>
      </w:r>
      <w:r w:rsidR="001420AD" w:rsidRPr="0067752B">
        <w:rPr>
          <w:rFonts w:ascii="Arial" w:hAnsi="Arial" w:cs="Arial"/>
          <w:sz w:val="22"/>
          <w:szCs w:val="22"/>
        </w:rPr>
        <w:t xml:space="preserve">must </w:t>
      </w:r>
      <w:r w:rsidRPr="0067752B">
        <w:rPr>
          <w:rFonts w:ascii="Arial" w:hAnsi="Arial" w:cs="Arial"/>
          <w:sz w:val="22"/>
          <w:szCs w:val="22"/>
        </w:rPr>
        <w:t xml:space="preserve">start at the toe and proceed up the slope, with each stone firmly bedded into the slope and against adjoining stones.  </w:t>
      </w:r>
      <w:r w:rsidR="00B65604" w:rsidRPr="0067752B">
        <w:rPr>
          <w:rFonts w:ascii="Arial" w:hAnsi="Arial" w:cs="Arial"/>
          <w:sz w:val="22"/>
          <w:szCs w:val="22"/>
        </w:rPr>
        <w:t>Construct t</w:t>
      </w:r>
      <w:r w:rsidRPr="0067752B">
        <w:rPr>
          <w:rFonts w:ascii="Arial" w:hAnsi="Arial" w:cs="Arial"/>
          <w:sz w:val="22"/>
          <w:szCs w:val="22"/>
        </w:rPr>
        <w:t xml:space="preserve">he riprap to minimize voids by </w:t>
      </w:r>
      <w:proofErr w:type="gramStart"/>
      <w:r w:rsidRPr="0067752B">
        <w:rPr>
          <w:rFonts w:ascii="Arial" w:hAnsi="Arial" w:cs="Arial"/>
          <w:sz w:val="22"/>
          <w:szCs w:val="22"/>
        </w:rPr>
        <w:t>select</w:t>
      </w:r>
      <w:proofErr w:type="gramEnd"/>
      <w:r w:rsidRPr="0067752B">
        <w:rPr>
          <w:rFonts w:ascii="Arial" w:hAnsi="Arial" w:cs="Arial"/>
          <w:sz w:val="22"/>
          <w:szCs w:val="22"/>
        </w:rPr>
        <w:t xml:space="preserve"> placement of optimum stone sizes from the gradation specified.  If placed riprap contains large voids, the Engineer </w:t>
      </w:r>
      <w:r w:rsidR="003B2B16" w:rsidRPr="0067752B">
        <w:rPr>
          <w:rFonts w:ascii="Arial" w:hAnsi="Arial" w:cs="Arial"/>
          <w:sz w:val="22"/>
          <w:szCs w:val="22"/>
        </w:rPr>
        <w:t>will</w:t>
      </w:r>
      <w:r w:rsidRPr="0067752B">
        <w:rPr>
          <w:rFonts w:ascii="Arial" w:hAnsi="Arial" w:cs="Arial"/>
          <w:sz w:val="22"/>
          <w:szCs w:val="22"/>
        </w:rPr>
        <w:t xml:space="preserve"> direct the </w:t>
      </w:r>
      <w:r w:rsidR="00D90E0A" w:rsidRPr="0067752B">
        <w:rPr>
          <w:rFonts w:ascii="Arial" w:hAnsi="Arial" w:cs="Arial"/>
          <w:sz w:val="22"/>
          <w:szCs w:val="22"/>
        </w:rPr>
        <w:t xml:space="preserve">Contractor </w:t>
      </w:r>
      <w:r w:rsidRPr="0067752B">
        <w:rPr>
          <w:rFonts w:ascii="Arial" w:hAnsi="Arial" w:cs="Arial"/>
          <w:sz w:val="22"/>
          <w:szCs w:val="22"/>
        </w:rPr>
        <w:t xml:space="preserve">to place additional stones of the </w:t>
      </w:r>
      <w:r w:rsidR="003B2B16" w:rsidRPr="0067752B">
        <w:rPr>
          <w:rFonts w:ascii="Arial" w:hAnsi="Arial" w:cs="Arial"/>
          <w:sz w:val="22"/>
          <w:szCs w:val="22"/>
        </w:rPr>
        <w:t>appropriate</w:t>
      </w:r>
      <w:r w:rsidRPr="0067752B">
        <w:rPr>
          <w:rFonts w:ascii="Arial" w:hAnsi="Arial" w:cs="Arial"/>
          <w:sz w:val="22"/>
          <w:szCs w:val="22"/>
        </w:rPr>
        <w:t xml:space="preserve"> gradation sizes to fill the voids.</w:t>
      </w:r>
    </w:p>
    <w:p w14:paraId="2E8670A9" w14:textId="77777777" w:rsidR="00ED7125" w:rsidRPr="0067752B" w:rsidRDefault="00ED7125" w:rsidP="0067752B">
      <w:pPr>
        <w:jc w:val="both"/>
        <w:rPr>
          <w:rFonts w:ascii="Arial" w:hAnsi="Arial" w:cs="Arial"/>
          <w:sz w:val="22"/>
          <w:szCs w:val="22"/>
        </w:rPr>
      </w:pPr>
    </w:p>
    <w:p w14:paraId="54E0702F" w14:textId="3A97206D" w:rsidR="00480606" w:rsidRPr="0067752B" w:rsidRDefault="00480606" w:rsidP="0067752B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67752B">
        <w:rPr>
          <w:rFonts w:ascii="Arial" w:hAnsi="Arial" w:cs="Arial"/>
          <w:b/>
          <w:bCs/>
          <w:sz w:val="22"/>
          <w:szCs w:val="22"/>
        </w:rPr>
        <w:t>d.</w:t>
      </w:r>
      <w:r w:rsidRPr="0067752B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3B2B16" w:rsidRPr="0067752B">
        <w:rPr>
          <w:rFonts w:ascii="Arial" w:hAnsi="Arial" w:cs="Arial"/>
          <w:bCs/>
          <w:sz w:val="22"/>
          <w:szCs w:val="22"/>
        </w:rPr>
        <w:t xml:space="preserve">  The completed work, as described, will be measured and paid for at the contract unit price using the following pay item</w:t>
      </w:r>
      <w:r w:rsidR="00382E11" w:rsidRPr="0067752B">
        <w:rPr>
          <w:rFonts w:ascii="Arial" w:hAnsi="Arial" w:cs="Arial"/>
          <w:bCs/>
          <w:sz w:val="22"/>
          <w:szCs w:val="22"/>
        </w:rPr>
        <w:t>s</w:t>
      </w:r>
      <w:r w:rsidR="003B2B16" w:rsidRPr="0067752B">
        <w:rPr>
          <w:rFonts w:ascii="Arial" w:hAnsi="Arial" w:cs="Arial"/>
          <w:bCs/>
          <w:sz w:val="22"/>
          <w:szCs w:val="22"/>
        </w:rPr>
        <w:t>:</w:t>
      </w:r>
    </w:p>
    <w:p w14:paraId="78AB507B" w14:textId="055D8A23" w:rsidR="00EF2138" w:rsidRPr="0067752B" w:rsidRDefault="00EF2138" w:rsidP="0067752B">
      <w:pPr>
        <w:jc w:val="both"/>
        <w:rPr>
          <w:rFonts w:ascii="Arial" w:hAnsi="Arial" w:cs="Arial"/>
          <w:bCs/>
          <w:sz w:val="22"/>
          <w:szCs w:val="22"/>
        </w:rPr>
      </w:pPr>
    </w:p>
    <w:p w14:paraId="5034781F" w14:textId="77777777" w:rsidR="00480606" w:rsidRPr="0067752B" w:rsidRDefault="00480606" w:rsidP="0067752B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/>
          <w:bCs/>
          <w:sz w:val="22"/>
          <w:szCs w:val="22"/>
        </w:rPr>
        <w:t>Pay Item</w:t>
      </w:r>
      <w:r w:rsidRPr="0067752B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07F1233E" w14:textId="77777777" w:rsidR="00480606" w:rsidRPr="0067752B" w:rsidRDefault="00480606" w:rsidP="0067752B">
      <w:pPr>
        <w:jc w:val="both"/>
        <w:rPr>
          <w:rFonts w:ascii="Arial" w:hAnsi="Arial" w:cs="Arial"/>
          <w:sz w:val="22"/>
          <w:szCs w:val="22"/>
        </w:rPr>
      </w:pPr>
    </w:p>
    <w:p w14:paraId="48E1BD2B" w14:textId="7B88D568" w:rsidR="00480606" w:rsidRPr="0067752B" w:rsidRDefault="00FE0808" w:rsidP="0067752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>Stone Underlayer</w:t>
      </w:r>
      <w:r w:rsidR="00480606" w:rsidRPr="0067752B">
        <w:rPr>
          <w:rFonts w:ascii="Arial" w:hAnsi="Arial" w:cs="Arial"/>
          <w:sz w:val="22"/>
          <w:szCs w:val="22"/>
        </w:rPr>
        <w:tab/>
        <w:t>Ton</w:t>
      </w:r>
    </w:p>
    <w:p w14:paraId="158D0978" w14:textId="02B44E7E" w:rsidR="002635A5" w:rsidRPr="0067752B" w:rsidRDefault="00FE0808" w:rsidP="0067752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>Armor Stone</w:t>
      </w:r>
      <w:r w:rsidR="002635A5" w:rsidRPr="0067752B">
        <w:rPr>
          <w:rFonts w:ascii="Arial" w:hAnsi="Arial" w:cs="Arial"/>
          <w:sz w:val="22"/>
          <w:szCs w:val="22"/>
        </w:rPr>
        <w:tab/>
        <w:t>Ton</w:t>
      </w:r>
    </w:p>
    <w:p w14:paraId="4572BE8E" w14:textId="77777777" w:rsidR="00382E11" w:rsidRPr="0067752B" w:rsidRDefault="00382E11" w:rsidP="0067752B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0134FAA2" w14:textId="38D2FB66" w:rsidR="00912748" w:rsidRPr="0067752B" w:rsidRDefault="00471923" w:rsidP="0067752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Cs/>
          <w:sz w:val="22"/>
          <w:szCs w:val="22"/>
        </w:rPr>
        <w:t>1.</w:t>
      </w:r>
      <w:r w:rsidRPr="0067752B">
        <w:rPr>
          <w:rFonts w:ascii="Arial" w:hAnsi="Arial" w:cs="Arial"/>
          <w:bCs/>
          <w:sz w:val="22"/>
          <w:szCs w:val="22"/>
        </w:rPr>
        <w:tab/>
      </w:r>
      <w:r w:rsidR="00912748" w:rsidRPr="0067752B">
        <w:rPr>
          <w:rFonts w:ascii="Arial" w:hAnsi="Arial" w:cs="Arial"/>
          <w:b/>
          <w:sz w:val="22"/>
          <w:szCs w:val="22"/>
        </w:rPr>
        <w:t>Stone Underlayer</w:t>
      </w:r>
      <w:r w:rsidR="00912748" w:rsidRPr="0067752B">
        <w:rPr>
          <w:rFonts w:ascii="Arial" w:hAnsi="Arial" w:cs="Arial"/>
          <w:sz w:val="22"/>
          <w:szCs w:val="22"/>
        </w:rPr>
        <w:t xml:space="preserve"> includes furnishing all </w:t>
      </w:r>
      <w:r w:rsidR="00382E11" w:rsidRPr="0067752B">
        <w:rPr>
          <w:rFonts w:ascii="Arial" w:hAnsi="Arial" w:cs="Arial"/>
          <w:sz w:val="22"/>
          <w:szCs w:val="22"/>
        </w:rPr>
        <w:t>labor</w:t>
      </w:r>
      <w:r w:rsidR="00912748" w:rsidRPr="0067752B">
        <w:rPr>
          <w:rFonts w:ascii="Arial" w:hAnsi="Arial" w:cs="Arial"/>
          <w:sz w:val="22"/>
          <w:szCs w:val="22"/>
        </w:rPr>
        <w:t>, equipment</w:t>
      </w:r>
      <w:r w:rsidR="00382E11" w:rsidRPr="0067752B">
        <w:rPr>
          <w:rFonts w:ascii="Arial" w:hAnsi="Arial" w:cs="Arial"/>
          <w:sz w:val="22"/>
          <w:szCs w:val="22"/>
        </w:rPr>
        <w:t xml:space="preserve"> and materials</w:t>
      </w:r>
      <w:r w:rsidR="00912748" w:rsidRPr="0067752B">
        <w:rPr>
          <w:rFonts w:ascii="Arial" w:hAnsi="Arial" w:cs="Arial"/>
          <w:sz w:val="22"/>
          <w:szCs w:val="22"/>
        </w:rPr>
        <w:t xml:space="preserve"> to clear and prepare grades, excavat</w:t>
      </w:r>
      <w:r w:rsidR="008249DE" w:rsidRPr="0067752B">
        <w:rPr>
          <w:rFonts w:ascii="Arial" w:hAnsi="Arial" w:cs="Arial"/>
          <w:sz w:val="22"/>
          <w:szCs w:val="22"/>
        </w:rPr>
        <w:t>ing</w:t>
      </w:r>
      <w:r w:rsidR="00912748" w:rsidRPr="0067752B">
        <w:rPr>
          <w:rFonts w:ascii="Arial" w:hAnsi="Arial" w:cs="Arial"/>
          <w:sz w:val="22"/>
          <w:szCs w:val="22"/>
        </w:rPr>
        <w:t xml:space="preserve"> and dispos</w:t>
      </w:r>
      <w:r w:rsidR="008249DE" w:rsidRPr="0067752B">
        <w:rPr>
          <w:rFonts w:ascii="Arial" w:hAnsi="Arial" w:cs="Arial"/>
          <w:sz w:val="22"/>
          <w:szCs w:val="22"/>
        </w:rPr>
        <w:t>ing</w:t>
      </w:r>
      <w:r w:rsidR="00912748" w:rsidRPr="0067752B">
        <w:rPr>
          <w:rFonts w:ascii="Arial" w:hAnsi="Arial" w:cs="Arial"/>
          <w:sz w:val="22"/>
          <w:szCs w:val="22"/>
        </w:rPr>
        <w:t xml:space="preserve"> of surplus or unsuitable materials, shor</w:t>
      </w:r>
      <w:r w:rsidR="008249DE" w:rsidRPr="0067752B">
        <w:rPr>
          <w:rFonts w:ascii="Arial" w:hAnsi="Arial" w:cs="Arial"/>
          <w:sz w:val="22"/>
          <w:szCs w:val="22"/>
        </w:rPr>
        <w:t>ing</w:t>
      </w:r>
      <w:r w:rsidR="00F55FEE" w:rsidRPr="0067752B">
        <w:rPr>
          <w:rFonts w:ascii="Arial" w:hAnsi="Arial" w:cs="Arial"/>
          <w:sz w:val="22"/>
          <w:szCs w:val="22"/>
        </w:rPr>
        <w:t>,</w:t>
      </w:r>
      <w:r w:rsidR="00912748" w:rsidRPr="0067752B">
        <w:rPr>
          <w:rFonts w:ascii="Arial" w:hAnsi="Arial" w:cs="Arial"/>
          <w:sz w:val="22"/>
          <w:szCs w:val="22"/>
        </w:rPr>
        <w:t xml:space="preserve"> furnish</w:t>
      </w:r>
      <w:r w:rsidR="008249DE" w:rsidRPr="0067752B">
        <w:rPr>
          <w:rFonts w:ascii="Arial" w:hAnsi="Arial" w:cs="Arial"/>
          <w:sz w:val="22"/>
          <w:szCs w:val="22"/>
        </w:rPr>
        <w:t>ing</w:t>
      </w:r>
      <w:r w:rsidR="00912748" w:rsidRPr="0067752B">
        <w:rPr>
          <w:rFonts w:ascii="Arial" w:hAnsi="Arial" w:cs="Arial"/>
          <w:sz w:val="22"/>
          <w:szCs w:val="22"/>
        </w:rPr>
        <w:t xml:space="preserve"> and plac</w:t>
      </w:r>
      <w:r w:rsidR="008249DE" w:rsidRPr="0067752B">
        <w:rPr>
          <w:rFonts w:ascii="Arial" w:hAnsi="Arial" w:cs="Arial"/>
          <w:sz w:val="22"/>
          <w:szCs w:val="22"/>
        </w:rPr>
        <w:t>ing</w:t>
      </w:r>
      <w:r w:rsidR="00912748" w:rsidRPr="0067752B">
        <w:rPr>
          <w:rFonts w:ascii="Arial" w:hAnsi="Arial" w:cs="Arial"/>
          <w:sz w:val="22"/>
          <w:szCs w:val="22"/>
        </w:rPr>
        <w:t xml:space="preserve"> </w:t>
      </w:r>
      <w:r w:rsidR="00DC61D3" w:rsidRPr="0067752B">
        <w:rPr>
          <w:rFonts w:ascii="Arial" w:hAnsi="Arial" w:cs="Arial"/>
          <w:sz w:val="22"/>
          <w:szCs w:val="22"/>
        </w:rPr>
        <w:t xml:space="preserve">heavy </w:t>
      </w:r>
      <w:r w:rsidR="00912748" w:rsidRPr="0067752B">
        <w:rPr>
          <w:rFonts w:ascii="Arial" w:hAnsi="Arial" w:cs="Arial"/>
          <w:sz w:val="22"/>
          <w:szCs w:val="22"/>
        </w:rPr>
        <w:t>geotextile</w:t>
      </w:r>
      <w:r w:rsidR="00382E11" w:rsidRPr="0067752B">
        <w:rPr>
          <w:rFonts w:ascii="Arial" w:hAnsi="Arial" w:cs="Arial"/>
          <w:sz w:val="22"/>
          <w:szCs w:val="22"/>
        </w:rPr>
        <w:t xml:space="preserve"> </w:t>
      </w:r>
      <w:r w:rsidR="00DC61D3" w:rsidRPr="0067752B">
        <w:rPr>
          <w:rFonts w:ascii="Arial" w:hAnsi="Arial" w:cs="Arial"/>
          <w:sz w:val="22"/>
          <w:szCs w:val="22"/>
        </w:rPr>
        <w:t xml:space="preserve">liner </w:t>
      </w:r>
      <w:r w:rsidR="00382E11" w:rsidRPr="0067752B">
        <w:rPr>
          <w:rFonts w:ascii="Arial" w:hAnsi="Arial" w:cs="Arial"/>
          <w:sz w:val="22"/>
          <w:szCs w:val="22"/>
        </w:rPr>
        <w:t xml:space="preserve">and placement of the stone riprap as </w:t>
      </w:r>
      <w:r w:rsidR="00667510" w:rsidRPr="0067752B">
        <w:rPr>
          <w:rFonts w:ascii="Arial" w:hAnsi="Arial" w:cs="Arial"/>
          <w:sz w:val="22"/>
          <w:szCs w:val="22"/>
        </w:rPr>
        <w:t>shown on the plans and in accordance with this special provision</w:t>
      </w:r>
      <w:r w:rsidR="00912748" w:rsidRPr="0067752B">
        <w:rPr>
          <w:rFonts w:ascii="Arial" w:hAnsi="Arial" w:cs="Arial"/>
          <w:sz w:val="22"/>
          <w:szCs w:val="22"/>
        </w:rPr>
        <w:t>.</w:t>
      </w:r>
    </w:p>
    <w:p w14:paraId="351947E4" w14:textId="1B894594" w:rsidR="00D73D27" w:rsidRPr="0067752B" w:rsidRDefault="00D73D27" w:rsidP="0067752B">
      <w:pPr>
        <w:jc w:val="both"/>
        <w:rPr>
          <w:rFonts w:ascii="Arial" w:hAnsi="Arial" w:cs="Arial"/>
          <w:sz w:val="22"/>
          <w:szCs w:val="22"/>
        </w:rPr>
      </w:pPr>
    </w:p>
    <w:p w14:paraId="3834C442" w14:textId="467DDA78" w:rsidR="00D73D27" w:rsidRPr="0067752B" w:rsidRDefault="00D73D27" w:rsidP="0067752B">
      <w:pPr>
        <w:ind w:left="36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 xml:space="preserve">Existing non-armor stone riprap meeting the requirements of this special provision and deemed suitable by the Engineer may be re-used and paid for as </w:t>
      </w:r>
      <w:r w:rsidRPr="0067752B">
        <w:rPr>
          <w:rFonts w:ascii="Arial" w:hAnsi="Arial" w:cs="Arial"/>
          <w:b/>
          <w:bCs/>
          <w:sz w:val="22"/>
          <w:szCs w:val="22"/>
        </w:rPr>
        <w:t>Stone Underlayer</w:t>
      </w:r>
      <w:r w:rsidRPr="0067752B">
        <w:rPr>
          <w:rFonts w:ascii="Arial" w:hAnsi="Arial" w:cs="Arial"/>
          <w:sz w:val="22"/>
          <w:szCs w:val="22"/>
        </w:rPr>
        <w:t>.  Existing non-armor stone riprap deemed unsuitable must be removed and disposed</w:t>
      </w:r>
      <w:r w:rsidR="00DC61D3" w:rsidRPr="0067752B">
        <w:rPr>
          <w:rFonts w:ascii="Arial" w:hAnsi="Arial" w:cs="Arial"/>
          <w:sz w:val="22"/>
          <w:szCs w:val="22"/>
        </w:rPr>
        <w:t xml:space="preserve"> of</w:t>
      </w:r>
      <w:r w:rsidRPr="0067752B">
        <w:rPr>
          <w:rFonts w:ascii="Arial" w:hAnsi="Arial" w:cs="Arial"/>
          <w:sz w:val="22"/>
          <w:szCs w:val="22"/>
        </w:rPr>
        <w:t xml:space="preserve">.  Payment for this work will be measured by the </w:t>
      </w:r>
      <w:r w:rsidR="00DC61D3" w:rsidRPr="0067752B">
        <w:rPr>
          <w:rFonts w:ascii="Arial" w:hAnsi="Arial" w:cs="Arial"/>
          <w:sz w:val="22"/>
          <w:szCs w:val="22"/>
        </w:rPr>
        <w:t>c</w:t>
      </w:r>
      <w:r w:rsidRPr="0067752B">
        <w:rPr>
          <w:rFonts w:ascii="Arial" w:hAnsi="Arial" w:cs="Arial"/>
          <w:sz w:val="22"/>
          <w:szCs w:val="22"/>
        </w:rPr>
        <w:t xml:space="preserve">ubic </w:t>
      </w:r>
      <w:r w:rsidR="00DC61D3" w:rsidRPr="0067752B">
        <w:rPr>
          <w:rFonts w:ascii="Arial" w:hAnsi="Arial" w:cs="Arial"/>
          <w:sz w:val="22"/>
          <w:szCs w:val="22"/>
        </w:rPr>
        <w:t>y</w:t>
      </w:r>
      <w:r w:rsidRPr="0067752B">
        <w:rPr>
          <w:rFonts w:ascii="Arial" w:hAnsi="Arial" w:cs="Arial"/>
          <w:sz w:val="22"/>
          <w:szCs w:val="22"/>
        </w:rPr>
        <w:t xml:space="preserve">ard and paid for as </w:t>
      </w:r>
      <w:r w:rsidRPr="0067752B">
        <w:rPr>
          <w:rFonts w:ascii="Arial" w:hAnsi="Arial" w:cs="Arial"/>
          <w:b/>
          <w:bCs/>
          <w:sz w:val="22"/>
          <w:szCs w:val="22"/>
        </w:rPr>
        <w:t xml:space="preserve">Excavation, Earth </w:t>
      </w:r>
      <w:r w:rsidRPr="0067752B">
        <w:rPr>
          <w:rFonts w:ascii="Arial" w:hAnsi="Arial" w:cs="Arial"/>
          <w:sz w:val="22"/>
          <w:szCs w:val="22"/>
        </w:rPr>
        <w:t>at the contract unit price.</w:t>
      </w:r>
    </w:p>
    <w:p w14:paraId="7C3F011C" w14:textId="77777777" w:rsidR="00D73D27" w:rsidRPr="0067752B" w:rsidRDefault="00D73D27" w:rsidP="0067752B">
      <w:pPr>
        <w:jc w:val="both"/>
        <w:rPr>
          <w:rFonts w:ascii="Arial" w:hAnsi="Arial" w:cs="Arial"/>
          <w:sz w:val="22"/>
          <w:szCs w:val="22"/>
        </w:rPr>
      </w:pPr>
    </w:p>
    <w:p w14:paraId="30A7BFF5" w14:textId="61985165" w:rsidR="00480606" w:rsidRPr="0067752B" w:rsidRDefault="00D73D27" w:rsidP="0067752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bCs/>
          <w:sz w:val="22"/>
          <w:szCs w:val="22"/>
        </w:rPr>
        <w:t>2.</w:t>
      </w:r>
      <w:r w:rsidRPr="0067752B">
        <w:rPr>
          <w:rFonts w:ascii="Arial" w:hAnsi="Arial" w:cs="Arial"/>
          <w:bCs/>
          <w:sz w:val="22"/>
          <w:szCs w:val="22"/>
        </w:rPr>
        <w:tab/>
      </w:r>
      <w:r w:rsidR="00FE0808" w:rsidRPr="0067752B">
        <w:rPr>
          <w:rFonts w:ascii="Arial" w:hAnsi="Arial" w:cs="Arial"/>
          <w:b/>
          <w:sz w:val="22"/>
          <w:szCs w:val="22"/>
        </w:rPr>
        <w:t>Armor Stone</w:t>
      </w:r>
      <w:r w:rsidR="00B65604" w:rsidRPr="0067752B">
        <w:rPr>
          <w:rFonts w:ascii="Arial" w:hAnsi="Arial" w:cs="Arial"/>
          <w:sz w:val="22"/>
          <w:szCs w:val="22"/>
        </w:rPr>
        <w:t xml:space="preserve"> </w:t>
      </w:r>
      <w:r w:rsidR="00480606" w:rsidRPr="0067752B">
        <w:rPr>
          <w:rFonts w:ascii="Arial" w:hAnsi="Arial" w:cs="Arial"/>
          <w:sz w:val="22"/>
          <w:szCs w:val="22"/>
        </w:rPr>
        <w:t xml:space="preserve">includes furnishing all </w:t>
      </w:r>
      <w:r w:rsidR="00667510" w:rsidRPr="0067752B">
        <w:rPr>
          <w:rFonts w:ascii="Arial" w:hAnsi="Arial" w:cs="Arial"/>
          <w:sz w:val="22"/>
          <w:szCs w:val="22"/>
        </w:rPr>
        <w:t>labor</w:t>
      </w:r>
      <w:r w:rsidR="00121B63" w:rsidRPr="0067752B">
        <w:rPr>
          <w:rFonts w:ascii="Arial" w:hAnsi="Arial" w:cs="Arial"/>
          <w:sz w:val="22"/>
          <w:szCs w:val="22"/>
        </w:rPr>
        <w:t>, equipment</w:t>
      </w:r>
      <w:r w:rsidR="00667510" w:rsidRPr="0067752B">
        <w:rPr>
          <w:rFonts w:ascii="Arial" w:hAnsi="Arial" w:cs="Arial"/>
          <w:sz w:val="22"/>
          <w:szCs w:val="22"/>
        </w:rPr>
        <w:t>,</w:t>
      </w:r>
      <w:r w:rsidR="00121B63" w:rsidRPr="0067752B">
        <w:rPr>
          <w:rFonts w:ascii="Arial" w:hAnsi="Arial" w:cs="Arial"/>
          <w:sz w:val="22"/>
          <w:szCs w:val="22"/>
        </w:rPr>
        <w:t xml:space="preserve"> </w:t>
      </w:r>
      <w:r w:rsidR="00667510" w:rsidRPr="0067752B">
        <w:rPr>
          <w:rFonts w:ascii="Arial" w:hAnsi="Arial" w:cs="Arial"/>
          <w:sz w:val="22"/>
          <w:szCs w:val="22"/>
        </w:rPr>
        <w:t>materials</w:t>
      </w:r>
      <w:r w:rsidR="00121B63" w:rsidRPr="0067752B">
        <w:rPr>
          <w:rFonts w:ascii="Arial" w:hAnsi="Arial" w:cs="Arial"/>
          <w:sz w:val="22"/>
          <w:szCs w:val="22"/>
        </w:rPr>
        <w:t xml:space="preserve"> and</w:t>
      </w:r>
      <w:r w:rsidR="00480606" w:rsidRPr="0067752B">
        <w:rPr>
          <w:rFonts w:ascii="Arial" w:hAnsi="Arial" w:cs="Arial"/>
          <w:sz w:val="22"/>
          <w:szCs w:val="22"/>
        </w:rPr>
        <w:t xml:space="preserve"> plac</w:t>
      </w:r>
      <w:r w:rsidR="00121B63" w:rsidRPr="0067752B">
        <w:rPr>
          <w:rFonts w:ascii="Arial" w:hAnsi="Arial" w:cs="Arial"/>
          <w:sz w:val="22"/>
          <w:szCs w:val="22"/>
        </w:rPr>
        <w:t>ing</w:t>
      </w:r>
      <w:r w:rsidR="00480606" w:rsidRPr="0067752B">
        <w:rPr>
          <w:rFonts w:ascii="Arial" w:hAnsi="Arial" w:cs="Arial"/>
          <w:sz w:val="22"/>
          <w:szCs w:val="22"/>
        </w:rPr>
        <w:t xml:space="preserve"> the riprap stone </w:t>
      </w:r>
      <w:r w:rsidR="00667510" w:rsidRPr="0067752B">
        <w:rPr>
          <w:rFonts w:ascii="Arial" w:hAnsi="Arial" w:cs="Arial"/>
          <w:sz w:val="22"/>
          <w:szCs w:val="22"/>
        </w:rPr>
        <w:t xml:space="preserve">as shown on the plans and </w:t>
      </w:r>
      <w:r w:rsidR="00B65604" w:rsidRPr="0067752B">
        <w:rPr>
          <w:rFonts w:ascii="Arial" w:hAnsi="Arial" w:cs="Arial"/>
          <w:sz w:val="22"/>
          <w:szCs w:val="22"/>
        </w:rPr>
        <w:t xml:space="preserve">in </w:t>
      </w:r>
      <w:r w:rsidR="00480606" w:rsidRPr="0067752B">
        <w:rPr>
          <w:rFonts w:ascii="Arial" w:hAnsi="Arial" w:cs="Arial"/>
          <w:sz w:val="22"/>
          <w:szCs w:val="22"/>
        </w:rPr>
        <w:t>accord</w:t>
      </w:r>
      <w:r w:rsidR="00B65604" w:rsidRPr="0067752B">
        <w:rPr>
          <w:rFonts w:ascii="Arial" w:hAnsi="Arial" w:cs="Arial"/>
          <w:sz w:val="22"/>
          <w:szCs w:val="22"/>
        </w:rPr>
        <w:t xml:space="preserve">ance with </w:t>
      </w:r>
      <w:r w:rsidR="00480606" w:rsidRPr="0067752B">
        <w:rPr>
          <w:rFonts w:ascii="Arial" w:hAnsi="Arial" w:cs="Arial"/>
          <w:sz w:val="22"/>
          <w:szCs w:val="22"/>
        </w:rPr>
        <w:t>this speci</w:t>
      </w:r>
      <w:r w:rsidR="00B65604" w:rsidRPr="0067752B">
        <w:rPr>
          <w:rFonts w:ascii="Arial" w:hAnsi="Arial" w:cs="Arial"/>
          <w:sz w:val="22"/>
          <w:szCs w:val="22"/>
        </w:rPr>
        <w:t>al provision</w:t>
      </w:r>
      <w:r w:rsidR="00480606" w:rsidRPr="0067752B">
        <w:rPr>
          <w:rFonts w:ascii="Arial" w:hAnsi="Arial" w:cs="Arial"/>
          <w:sz w:val="22"/>
          <w:szCs w:val="22"/>
        </w:rPr>
        <w:t>.</w:t>
      </w:r>
    </w:p>
    <w:p w14:paraId="51766555" w14:textId="050EF00B" w:rsidR="00D73D27" w:rsidRPr="0067752B" w:rsidRDefault="00D73D27" w:rsidP="0067752B">
      <w:pPr>
        <w:jc w:val="both"/>
        <w:rPr>
          <w:rFonts w:ascii="Arial" w:hAnsi="Arial" w:cs="Arial"/>
        </w:rPr>
      </w:pPr>
    </w:p>
    <w:p w14:paraId="28953B32" w14:textId="6D2DA1E0" w:rsidR="002635A5" w:rsidRPr="0067752B" w:rsidRDefault="00D73D27" w:rsidP="0067752B">
      <w:pPr>
        <w:ind w:left="360"/>
        <w:jc w:val="both"/>
        <w:rPr>
          <w:rFonts w:ascii="Arial" w:hAnsi="Arial" w:cs="Arial"/>
          <w:sz w:val="22"/>
          <w:szCs w:val="22"/>
        </w:rPr>
      </w:pPr>
      <w:r w:rsidRPr="0067752B">
        <w:rPr>
          <w:rFonts w:ascii="Arial" w:hAnsi="Arial" w:cs="Arial"/>
          <w:sz w:val="22"/>
          <w:szCs w:val="22"/>
        </w:rPr>
        <w:t>Refer to the special provision for Armor Stone Removal and Salvage for removal, disposal, salvaging and placement of existing armor stone.</w:t>
      </w:r>
    </w:p>
    <w:sectPr w:rsidR="002635A5" w:rsidRPr="0067752B" w:rsidSect="002B4ED5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BB8A" w14:textId="77777777" w:rsidR="00FB13F4" w:rsidRDefault="00FB13F4">
      <w:r>
        <w:separator/>
      </w:r>
    </w:p>
  </w:endnote>
  <w:endnote w:type="continuationSeparator" w:id="0">
    <w:p w14:paraId="49B12FB8" w14:textId="77777777" w:rsidR="00FB13F4" w:rsidRDefault="00FB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2CA2" w14:textId="77777777" w:rsidR="00FB13F4" w:rsidRDefault="00FB13F4">
      <w:r>
        <w:separator/>
      </w:r>
    </w:p>
  </w:footnote>
  <w:footnote w:type="continuationSeparator" w:id="0">
    <w:p w14:paraId="1C6D12FA" w14:textId="77777777" w:rsidR="00FB13F4" w:rsidRDefault="00FB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7541" w14:textId="208FF1DB" w:rsidR="006F0F4C" w:rsidRPr="006B0362" w:rsidRDefault="006F0F4C" w:rsidP="006F0F4C">
    <w:pPr>
      <w:jc w:val="right"/>
      <w:rPr>
        <w:rFonts w:ascii="Arial" w:hAnsi="Arial" w:cs="Arial"/>
      </w:rPr>
    </w:pPr>
    <w:r>
      <w:rPr>
        <w:rFonts w:ascii="Arial" w:hAnsi="Arial" w:cs="Arial"/>
      </w:rPr>
      <w:t>20GT8</w:t>
    </w:r>
    <w:r w:rsidRPr="006B0362">
      <w:rPr>
        <w:rFonts w:ascii="Arial" w:hAnsi="Arial" w:cs="Arial"/>
      </w:rPr>
      <w:t>13</w:t>
    </w:r>
    <w:r>
      <w:rPr>
        <w:rFonts w:ascii="Arial" w:hAnsi="Arial" w:cs="Arial"/>
      </w:rPr>
      <w:t>-A020-</w:t>
    </w:r>
    <w:r w:rsidR="00A76C2E">
      <w:rPr>
        <w:rFonts w:ascii="Arial" w:hAnsi="Arial" w:cs="Arial"/>
      </w:rPr>
      <w:t>03</w:t>
    </w:r>
  </w:p>
  <w:p w14:paraId="4EEA8B32" w14:textId="6B75214D" w:rsidR="007E3D1E" w:rsidRPr="006B0362" w:rsidRDefault="006F0F4C" w:rsidP="0067752B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GEO:CDJ</w:t>
    </w:r>
    <w:proofErr w:type="gramEnd"/>
    <w:r w:rsidR="007E3D1E" w:rsidRPr="00C07AAD">
      <w:rPr>
        <w:rFonts w:ascii="Arial" w:hAnsi="Arial" w:cs="Arial"/>
      </w:rPr>
      <w:tab/>
    </w:r>
    <w:r w:rsidR="007E3D1E" w:rsidRPr="006B0362">
      <w:rPr>
        <w:rFonts w:ascii="Arial" w:hAnsi="Arial" w:cs="Arial"/>
      </w:rPr>
      <w:fldChar w:fldCharType="begin"/>
    </w:r>
    <w:r w:rsidR="007E3D1E" w:rsidRPr="00C07AAD">
      <w:rPr>
        <w:rFonts w:ascii="Arial" w:hAnsi="Arial" w:cs="Arial"/>
      </w:rPr>
      <w:instrText xml:space="preserve"> PAGE   \* MERGEFORMAT </w:instrText>
    </w:r>
    <w:r w:rsidR="007E3D1E" w:rsidRPr="006B0362">
      <w:rPr>
        <w:rFonts w:ascii="Arial" w:hAnsi="Arial" w:cs="Arial"/>
      </w:rPr>
      <w:fldChar w:fldCharType="separate"/>
    </w:r>
    <w:r w:rsidR="008102A4">
      <w:rPr>
        <w:rFonts w:ascii="Arial" w:hAnsi="Arial" w:cs="Arial"/>
        <w:noProof/>
      </w:rPr>
      <w:t>2</w:t>
    </w:r>
    <w:r w:rsidR="007E3D1E" w:rsidRPr="006B0362">
      <w:rPr>
        <w:rFonts w:ascii="Arial" w:hAnsi="Arial" w:cs="Arial"/>
      </w:rPr>
      <w:fldChar w:fldCharType="end"/>
    </w:r>
    <w:r w:rsidR="007E3D1E" w:rsidRPr="00C07AAD">
      <w:rPr>
        <w:rFonts w:ascii="Arial" w:hAnsi="Arial" w:cs="Arial"/>
      </w:rPr>
      <w:t xml:space="preserve"> of </w:t>
    </w:r>
    <w:r w:rsidR="007E3D1E" w:rsidRPr="006B0362">
      <w:rPr>
        <w:rFonts w:ascii="Arial" w:hAnsi="Arial" w:cs="Arial"/>
      </w:rPr>
      <w:fldChar w:fldCharType="begin"/>
    </w:r>
    <w:r w:rsidR="007E3D1E" w:rsidRPr="00C07AAD">
      <w:rPr>
        <w:rFonts w:ascii="Arial" w:hAnsi="Arial" w:cs="Arial"/>
      </w:rPr>
      <w:instrText xml:space="preserve"> NUMPAGES   \* MERGEFORMAT </w:instrText>
    </w:r>
    <w:r w:rsidR="007E3D1E" w:rsidRPr="006B0362">
      <w:rPr>
        <w:rFonts w:ascii="Arial" w:hAnsi="Arial" w:cs="Arial"/>
      </w:rPr>
      <w:fldChar w:fldCharType="separate"/>
    </w:r>
    <w:r w:rsidR="008102A4">
      <w:rPr>
        <w:rFonts w:ascii="Arial" w:hAnsi="Arial" w:cs="Arial"/>
        <w:noProof/>
      </w:rPr>
      <w:t>2</w:t>
    </w:r>
    <w:r w:rsidR="007E3D1E" w:rsidRPr="006B0362">
      <w:rPr>
        <w:rFonts w:ascii="Arial" w:hAnsi="Arial" w:cs="Arial"/>
      </w:rPr>
      <w:fldChar w:fldCharType="end"/>
    </w:r>
    <w:r w:rsidR="007E3D1E" w:rsidRPr="00C07AAD">
      <w:rPr>
        <w:rFonts w:ascii="Arial" w:hAnsi="Arial" w:cs="Arial"/>
      </w:rPr>
      <w:tab/>
    </w:r>
    <w:r w:rsidR="00A76C2E">
      <w:rPr>
        <w:rFonts w:ascii="Arial" w:hAnsi="Arial" w:cs="Arial"/>
      </w:rPr>
      <w:t>0</w:t>
    </w:r>
    <w:r w:rsidR="00033DBF">
      <w:rPr>
        <w:rFonts w:ascii="Arial" w:hAnsi="Arial" w:cs="Arial"/>
      </w:rPr>
      <w:t>7</w:t>
    </w:r>
    <w:r w:rsidR="00A76C2E">
      <w:rPr>
        <w:rFonts w:ascii="Arial" w:hAnsi="Arial" w:cs="Arial"/>
      </w:rPr>
      <w:t>-</w:t>
    </w:r>
    <w:r w:rsidR="00033DBF">
      <w:rPr>
        <w:rFonts w:ascii="Arial" w:hAnsi="Arial" w:cs="Arial"/>
      </w:rPr>
      <w:t>29</w:t>
    </w:r>
    <w:r w:rsidR="00A76C2E">
      <w:rPr>
        <w:rFonts w:ascii="Arial" w:hAnsi="Arial" w:cs="Arial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D2D5" w14:textId="078B7412" w:rsidR="007E3D1E" w:rsidRPr="006B0362" w:rsidRDefault="00D73D27" w:rsidP="006B0362">
    <w:pPr>
      <w:jc w:val="right"/>
      <w:rPr>
        <w:rFonts w:ascii="Arial" w:hAnsi="Arial" w:cs="Arial"/>
      </w:rPr>
    </w:pPr>
    <w:r>
      <w:rPr>
        <w:rFonts w:ascii="Arial" w:hAnsi="Arial" w:cs="Arial"/>
      </w:rPr>
      <w:t>20GT8</w:t>
    </w:r>
    <w:r w:rsidRPr="006B0362">
      <w:rPr>
        <w:rFonts w:ascii="Arial" w:hAnsi="Arial" w:cs="Arial"/>
      </w:rPr>
      <w:t>13</w:t>
    </w:r>
    <w:r w:rsidR="006F0F4C">
      <w:rPr>
        <w:rFonts w:ascii="Arial" w:hAnsi="Arial" w:cs="Arial"/>
      </w:rPr>
      <w:t>-</w:t>
    </w:r>
    <w:r w:rsidR="000F0236">
      <w:rPr>
        <w:rFonts w:ascii="Arial" w:hAnsi="Arial" w:cs="Arial"/>
      </w:rPr>
      <w:t>A020</w:t>
    </w:r>
    <w:r w:rsidR="006F0F4C">
      <w:rPr>
        <w:rFonts w:ascii="Arial" w:hAnsi="Arial" w:cs="Arial"/>
      </w:rPr>
      <w:t>-</w:t>
    </w:r>
    <w:r w:rsidR="00A76C2E">
      <w:rPr>
        <w:rFonts w:ascii="Arial" w:hAnsi="Arial" w:cs="Arial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053C0"/>
    <w:multiLevelType w:val="hybridMultilevel"/>
    <w:tmpl w:val="20AE277A"/>
    <w:lvl w:ilvl="0" w:tplc="3C12F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89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06"/>
    <w:rsid w:val="00026B48"/>
    <w:rsid w:val="0002773B"/>
    <w:rsid w:val="0003330B"/>
    <w:rsid w:val="00033DBF"/>
    <w:rsid w:val="0005004E"/>
    <w:rsid w:val="000661EA"/>
    <w:rsid w:val="00071067"/>
    <w:rsid w:val="000755B8"/>
    <w:rsid w:val="00085D42"/>
    <w:rsid w:val="000978F5"/>
    <w:rsid w:val="000A5F15"/>
    <w:rsid w:val="000C7D6C"/>
    <w:rsid w:val="000F0236"/>
    <w:rsid w:val="0010735A"/>
    <w:rsid w:val="00121B63"/>
    <w:rsid w:val="001263A6"/>
    <w:rsid w:val="001323CE"/>
    <w:rsid w:val="0013474B"/>
    <w:rsid w:val="001420AD"/>
    <w:rsid w:val="001637D4"/>
    <w:rsid w:val="00163D4F"/>
    <w:rsid w:val="0017666B"/>
    <w:rsid w:val="001773DA"/>
    <w:rsid w:val="00177567"/>
    <w:rsid w:val="001819B6"/>
    <w:rsid w:val="001A3878"/>
    <w:rsid w:val="001C5F64"/>
    <w:rsid w:val="001D573A"/>
    <w:rsid w:val="001F063B"/>
    <w:rsid w:val="001F30D2"/>
    <w:rsid w:val="00204091"/>
    <w:rsid w:val="0020641D"/>
    <w:rsid w:val="002223D3"/>
    <w:rsid w:val="00230D74"/>
    <w:rsid w:val="0023462C"/>
    <w:rsid w:val="00240DAA"/>
    <w:rsid w:val="002635A5"/>
    <w:rsid w:val="002823E6"/>
    <w:rsid w:val="0028738F"/>
    <w:rsid w:val="00295803"/>
    <w:rsid w:val="002A0812"/>
    <w:rsid w:val="002A12AD"/>
    <w:rsid w:val="002B29F6"/>
    <w:rsid w:val="002B4ED5"/>
    <w:rsid w:val="002D7FEF"/>
    <w:rsid w:val="002E2131"/>
    <w:rsid w:val="002E6A45"/>
    <w:rsid w:val="00331D6B"/>
    <w:rsid w:val="00335DDC"/>
    <w:rsid w:val="0034770B"/>
    <w:rsid w:val="00354B23"/>
    <w:rsid w:val="003618B9"/>
    <w:rsid w:val="00365209"/>
    <w:rsid w:val="00382E11"/>
    <w:rsid w:val="00391160"/>
    <w:rsid w:val="00394E36"/>
    <w:rsid w:val="003963E1"/>
    <w:rsid w:val="003B2B16"/>
    <w:rsid w:val="003B3800"/>
    <w:rsid w:val="003C7351"/>
    <w:rsid w:val="003C7A02"/>
    <w:rsid w:val="003D3A72"/>
    <w:rsid w:val="003D7C5C"/>
    <w:rsid w:val="003E7341"/>
    <w:rsid w:val="003F5C90"/>
    <w:rsid w:val="003F7515"/>
    <w:rsid w:val="00412EF4"/>
    <w:rsid w:val="004163B3"/>
    <w:rsid w:val="00440B6F"/>
    <w:rsid w:val="00471923"/>
    <w:rsid w:val="00475642"/>
    <w:rsid w:val="00476141"/>
    <w:rsid w:val="00480606"/>
    <w:rsid w:val="0049633D"/>
    <w:rsid w:val="004B569C"/>
    <w:rsid w:val="004E10FE"/>
    <w:rsid w:val="004E18C9"/>
    <w:rsid w:val="004F7FFE"/>
    <w:rsid w:val="0050425E"/>
    <w:rsid w:val="00531134"/>
    <w:rsid w:val="00534916"/>
    <w:rsid w:val="00565255"/>
    <w:rsid w:val="00586143"/>
    <w:rsid w:val="00591516"/>
    <w:rsid w:val="005A6386"/>
    <w:rsid w:val="005A7EDB"/>
    <w:rsid w:val="005B3A74"/>
    <w:rsid w:val="005C14C8"/>
    <w:rsid w:val="005D0222"/>
    <w:rsid w:val="005F7516"/>
    <w:rsid w:val="00607CA8"/>
    <w:rsid w:val="00640B4F"/>
    <w:rsid w:val="006663E4"/>
    <w:rsid w:val="00667510"/>
    <w:rsid w:val="0067752B"/>
    <w:rsid w:val="00684649"/>
    <w:rsid w:val="0069078F"/>
    <w:rsid w:val="006B0362"/>
    <w:rsid w:val="006B0465"/>
    <w:rsid w:val="006B32BC"/>
    <w:rsid w:val="006B6665"/>
    <w:rsid w:val="006C0DB4"/>
    <w:rsid w:val="006C63BF"/>
    <w:rsid w:val="006C7035"/>
    <w:rsid w:val="006D3451"/>
    <w:rsid w:val="006F0F4C"/>
    <w:rsid w:val="006F4585"/>
    <w:rsid w:val="00703113"/>
    <w:rsid w:val="0070737B"/>
    <w:rsid w:val="00736E1F"/>
    <w:rsid w:val="00744E35"/>
    <w:rsid w:val="007507C3"/>
    <w:rsid w:val="007530AA"/>
    <w:rsid w:val="007629A0"/>
    <w:rsid w:val="00763360"/>
    <w:rsid w:val="00764854"/>
    <w:rsid w:val="0077718D"/>
    <w:rsid w:val="0078545E"/>
    <w:rsid w:val="00792F0F"/>
    <w:rsid w:val="007E0DDA"/>
    <w:rsid w:val="007E3D1E"/>
    <w:rsid w:val="007E4D68"/>
    <w:rsid w:val="007E79DB"/>
    <w:rsid w:val="007F050F"/>
    <w:rsid w:val="007F576E"/>
    <w:rsid w:val="008102A4"/>
    <w:rsid w:val="00810568"/>
    <w:rsid w:val="00810FFA"/>
    <w:rsid w:val="008249DE"/>
    <w:rsid w:val="0082694E"/>
    <w:rsid w:val="0083319B"/>
    <w:rsid w:val="008369C1"/>
    <w:rsid w:val="008462AD"/>
    <w:rsid w:val="008752AE"/>
    <w:rsid w:val="0088129D"/>
    <w:rsid w:val="00882C1D"/>
    <w:rsid w:val="008B320B"/>
    <w:rsid w:val="008C372B"/>
    <w:rsid w:val="008D04A0"/>
    <w:rsid w:val="008D5F0D"/>
    <w:rsid w:val="008E11B7"/>
    <w:rsid w:val="00901999"/>
    <w:rsid w:val="00907854"/>
    <w:rsid w:val="00912748"/>
    <w:rsid w:val="00917817"/>
    <w:rsid w:val="00925324"/>
    <w:rsid w:val="0092635E"/>
    <w:rsid w:val="0094093F"/>
    <w:rsid w:val="0094215F"/>
    <w:rsid w:val="00946932"/>
    <w:rsid w:val="00955BEB"/>
    <w:rsid w:val="00974A7A"/>
    <w:rsid w:val="00986009"/>
    <w:rsid w:val="009A30FA"/>
    <w:rsid w:val="009F060A"/>
    <w:rsid w:val="009F0F2D"/>
    <w:rsid w:val="00A0712C"/>
    <w:rsid w:val="00A11553"/>
    <w:rsid w:val="00A15B7F"/>
    <w:rsid w:val="00A2149B"/>
    <w:rsid w:val="00A40F92"/>
    <w:rsid w:val="00A62D4C"/>
    <w:rsid w:val="00A64D93"/>
    <w:rsid w:val="00A76C2E"/>
    <w:rsid w:val="00A80B9C"/>
    <w:rsid w:val="00A816F6"/>
    <w:rsid w:val="00A83619"/>
    <w:rsid w:val="00A9341B"/>
    <w:rsid w:val="00AA2C95"/>
    <w:rsid w:val="00AB3FFE"/>
    <w:rsid w:val="00AB7CE9"/>
    <w:rsid w:val="00AC732D"/>
    <w:rsid w:val="00AD623C"/>
    <w:rsid w:val="00AE0B28"/>
    <w:rsid w:val="00AE2B1B"/>
    <w:rsid w:val="00B02D35"/>
    <w:rsid w:val="00B0463C"/>
    <w:rsid w:val="00B12EF8"/>
    <w:rsid w:val="00B3133C"/>
    <w:rsid w:val="00B40F62"/>
    <w:rsid w:val="00B4563E"/>
    <w:rsid w:val="00B56D4A"/>
    <w:rsid w:val="00B602CB"/>
    <w:rsid w:val="00B61615"/>
    <w:rsid w:val="00B64629"/>
    <w:rsid w:val="00B65604"/>
    <w:rsid w:val="00B74D2C"/>
    <w:rsid w:val="00B86A6A"/>
    <w:rsid w:val="00B948C2"/>
    <w:rsid w:val="00B95937"/>
    <w:rsid w:val="00BA513B"/>
    <w:rsid w:val="00BA6432"/>
    <w:rsid w:val="00BC0B73"/>
    <w:rsid w:val="00BC5F5F"/>
    <w:rsid w:val="00BF354C"/>
    <w:rsid w:val="00BF3DB8"/>
    <w:rsid w:val="00BF4620"/>
    <w:rsid w:val="00C03BDA"/>
    <w:rsid w:val="00C07AAD"/>
    <w:rsid w:val="00C102B1"/>
    <w:rsid w:val="00C135EA"/>
    <w:rsid w:val="00C17ECF"/>
    <w:rsid w:val="00C305E4"/>
    <w:rsid w:val="00C33F24"/>
    <w:rsid w:val="00C353B5"/>
    <w:rsid w:val="00C449A8"/>
    <w:rsid w:val="00C631D6"/>
    <w:rsid w:val="00C907B5"/>
    <w:rsid w:val="00C91849"/>
    <w:rsid w:val="00CB72BC"/>
    <w:rsid w:val="00CC1B9F"/>
    <w:rsid w:val="00CD1904"/>
    <w:rsid w:val="00CD51D1"/>
    <w:rsid w:val="00CE40A9"/>
    <w:rsid w:val="00CE5BFF"/>
    <w:rsid w:val="00D042A2"/>
    <w:rsid w:val="00D164D7"/>
    <w:rsid w:val="00D2058E"/>
    <w:rsid w:val="00D221DC"/>
    <w:rsid w:val="00D230B2"/>
    <w:rsid w:val="00D230C6"/>
    <w:rsid w:val="00D50998"/>
    <w:rsid w:val="00D52A5F"/>
    <w:rsid w:val="00D52EB9"/>
    <w:rsid w:val="00D73D27"/>
    <w:rsid w:val="00D90E0A"/>
    <w:rsid w:val="00D966D0"/>
    <w:rsid w:val="00DB4B70"/>
    <w:rsid w:val="00DB5DA4"/>
    <w:rsid w:val="00DC61D3"/>
    <w:rsid w:val="00DD1E0A"/>
    <w:rsid w:val="00DE67E1"/>
    <w:rsid w:val="00DF248E"/>
    <w:rsid w:val="00E04318"/>
    <w:rsid w:val="00E06A2F"/>
    <w:rsid w:val="00E24FA7"/>
    <w:rsid w:val="00E27763"/>
    <w:rsid w:val="00E30EA6"/>
    <w:rsid w:val="00E4064D"/>
    <w:rsid w:val="00E46597"/>
    <w:rsid w:val="00E54143"/>
    <w:rsid w:val="00E67F0B"/>
    <w:rsid w:val="00E75D8C"/>
    <w:rsid w:val="00E82C6B"/>
    <w:rsid w:val="00E837B5"/>
    <w:rsid w:val="00E947CF"/>
    <w:rsid w:val="00EA06E0"/>
    <w:rsid w:val="00EC08A1"/>
    <w:rsid w:val="00ED2324"/>
    <w:rsid w:val="00ED373B"/>
    <w:rsid w:val="00ED5758"/>
    <w:rsid w:val="00ED7125"/>
    <w:rsid w:val="00EE6AD2"/>
    <w:rsid w:val="00EF2138"/>
    <w:rsid w:val="00F010B0"/>
    <w:rsid w:val="00F10561"/>
    <w:rsid w:val="00F11E92"/>
    <w:rsid w:val="00F20454"/>
    <w:rsid w:val="00F25C4E"/>
    <w:rsid w:val="00F26A59"/>
    <w:rsid w:val="00F34244"/>
    <w:rsid w:val="00F42E11"/>
    <w:rsid w:val="00F43D8E"/>
    <w:rsid w:val="00F450B1"/>
    <w:rsid w:val="00F55FEE"/>
    <w:rsid w:val="00F626A5"/>
    <w:rsid w:val="00F71283"/>
    <w:rsid w:val="00F7174B"/>
    <w:rsid w:val="00F83589"/>
    <w:rsid w:val="00F87483"/>
    <w:rsid w:val="00FA0D30"/>
    <w:rsid w:val="00FB13F4"/>
    <w:rsid w:val="00FC014D"/>
    <w:rsid w:val="00FC7B7E"/>
    <w:rsid w:val="00FE0808"/>
    <w:rsid w:val="00FE4EE8"/>
    <w:rsid w:val="00FE6C4C"/>
    <w:rsid w:val="00FF0495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ED0A2"/>
  <w15:chartTrackingRefBased/>
  <w15:docId w15:val="{C5B11CDA-BE75-4127-81E5-09A9AC76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569C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rsid w:val="004806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0606"/>
  </w:style>
  <w:style w:type="paragraph" w:styleId="BalloonText">
    <w:name w:val="Balloon Text"/>
    <w:basedOn w:val="Normal"/>
    <w:semiHidden/>
    <w:rsid w:val="00C353B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86009"/>
    <w:rPr>
      <w:sz w:val="16"/>
      <w:szCs w:val="16"/>
    </w:rPr>
  </w:style>
  <w:style w:type="paragraph" w:styleId="CommentText">
    <w:name w:val="annotation text"/>
    <w:basedOn w:val="Normal"/>
    <w:semiHidden/>
    <w:rsid w:val="009860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6009"/>
    <w:rPr>
      <w:b/>
      <w:bCs/>
    </w:rPr>
  </w:style>
  <w:style w:type="table" w:styleId="TableGrid">
    <w:name w:val="Table Grid"/>
    <w:basedOn w:val="TableNormal"/>
    <w:uiPriority w:val="59"/>
    <w:rsid w:val="009A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351"/>
    <w:pPr>
      <w:ind w:left="720"/>
      <w:contextualSpacing/>
    </w:pPr>
  </w:style>
  <w:style w:type="paragraph" w:styleId="Revision">
    <w:name w:val="Revision"/>
    <w:hidden/>
    <w:uiPriority w:val="99"/>
    <w:semiHidden/>
    <w:rsid w:val="0076485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2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FD3F-7119-401F-A0A2-A32D4A52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New User</dc:creator>
  <cp:keywords/>
  <dc:description/>
  <cp:lastModifiedBy>Pawelec, David B. (MDOT)</cp:lastModifiedBy>
  <cp:revision>13</cp:revision>
  <cp:lastPrinted>2019-10-23T19:22:00Z</cp:lastPrinted>
  <dcterms:created xsi:type="dcterms:W3CDTF">2024-07-26T14:14:00Z</dcterms:created>
  <dcterms:modified xsi:type="dcterms:W3CDTF">2024-07-29T17:07:00Z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JohnecheckC@michigan.gov</vt:lpwstr>
  </property>
  <property fmtid="{D5CDD505-2E9C-101B-9397-08002B2CF9AE}" pid="5" name="MSIP_Label_3a2fed65-62e7-46ea-af74-187e0c17143a_SetDate">
    <vt:lpwstr>2019-10-03T16:48:23.0138786Z</vt:lpwstr>
  </property>
  <property fmtid="{D5CDD505-2E9C-101B-9397-08002B2CF9AE}" pid="6" name="MSIP_Label_3a2fed65-62e7-46ea-af74-187e0c17143a_Name">
    <vt:lpwstr>SOM Internal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4f35d89b-1c5a-4f3d-afc3-cdc2e67dfbfb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SOM Internal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