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ADB3" w14:textId="31AC300D" w:rsidR="00864A85" w:rsidRPr="006D5371" w:rsidRDefault="00864A85" w:rsidP="006D5371">
      <w:pPr>
        <w:widowControl w:val="0"/>
        <w:spacing w:after="240"/>
        <w:jc w:val="center"/>
        <w:rPr>
          <w:sz w:val="24"/>
          <w:szCs w:val="24"/>
        </w:rPr>
      </w:pPr>
      <w:r w:rsidRPr="006D5371">
        <w:rPr>
          <w:sz w:val="24"/>
          <w:szCs w:val="24"/>
        </w:rPr>
        <w:t>MICHIGAN</w:t>
      </w:r>
      <w:r w:rsidR="006D5371">
        <w:rPr>
          <w:sz w:val="24"/>
          <w:szCs w:val="24"/>
        </w:rPr>
        <w:br/>
      </w:r>
      <w:r w:rsidRPr="006D5371">
        <w:rPr>
          <w:sz w:val="24"/>
          <w:szCs w:val="24"/>
        </w:rPr>
        <w:t>DEPARTMENT OF TRANSPORTATION</w:t>
      </w:r>
    </w:p>
    <w:p w14:paraId="3A3EAB3B" w14:textId="7FAC48BB" w:rsidR="00864A85" w:rsidRPr="006D5371" w:rsidRDefault="00864A85" w:rsidP="006D5371">
      <w:pPr>
        <w:widowControl w:val="0"/>
        <w:jc w:val="center"/>
        <w:rPr>
          <w:sz w:val="24"/>
          <w:szCs w:val="24"/>
        </w:rPr>
      </w:pPr>
      <w:r w:rsidRPr="006D5371">
        <w:rPr>
          <w:sz w:val="24"/>
          <w:szCs w:val="24"/>
        </w:rPr>
        <w:t>SPECIAL PROVISION</w:t>
      </w:r>
      <w:r w:rsidR="006D5371">
        <w:rPr>
          <w:sz w:val="24"/>
          <w:szCs w:val="24"/>
        </w:rPr>
        <w:br/>
      </w:r>
      <w:r w:rsidRPr="006D5371">
        <w:rPr>
          <w:sz w:val="24"/>
          <w:szCs w:val="24"/>
        </w:rPr>
        <w:t>FOR</w:t>
      </w:r>
    </w:p>
    <w:p w14:paraId="113BD85E" w14:textId="38B19C20" w:rsidR="00864A85" w:rsidRPr="006D5371" w:rsidRDefault="00AD76BB" w:rsidP="006D5371">
      <w:pPr>
        <w:pStyle w:val="Heading1"/>
      </w:pPr>
      <w:r w:rsidRPr="006D5371">
        <w:t>TEMPORARY CAUSEWAYS AND ACCESS ROADS</w:t>
      </w:r>
    </w:p>
    <w:p w14:paraId="43A29424" w14:textId="60B649CF" w:rsidR="001122FD" w:rsidRPr="006D5371" w:rsidRDefault="000F200E" w:rsidP="006D5371">
      <w:pPr>
        <w:widowControl w:val="0"/>
        <w:tabs>
          <w:tab w:val="center" w:pos="4680"/>
          <w:tab w:val="right" w:pos="9360"/>
        </w:tabs>
        <w:spacing w:before="240" w:after="120"/>
        <w:rPr>
          <w:sz w:val="24"/>
          <w:szCs w:val="24"/>
        </w:rPr>
      </w:pPr>
      <w:proofErr w:type="gramStart"/>
      <w:r w:rsidRPr="006D5371">
        <w:rPr>
          <w:sz w:val="24"/>
          <w:szCs w:val="24"/>
        </w:rPr>
        <w:t>BRG:</w:t>
      </w:r>
      <w:r w:rsidR="003E7368" w:rsidRPr="006D5371">
        <w:rPr>
          <w:sz w:val="24"/>
          <w:szCs w:val="24"/>
        </w:rPr>
        <w:t>AJM</w:t>
      </w:r>
      <w:proofErr w:type="gramEnd"/>
      <w:r w:rsidR="001122FD" w:rsidRPr="006D5371">
        <w:rPr>
          <w:sz w:val="24"/>
          <w:szCs w:val="24"/>
        </w:rPr>
        <w:tab/>
        <w:t xml:space="preserve">1 of </w:t>
      </w:r>
      <w:r w:rsidR="00B45A99" w:rsidRPr="006D5371">
        <w:rPr>
          <w:sz w:val="24"/>
          <w:szCs w:val="24"/>
        </w:rPr>
        <w:t>4</w:t>
      </w:r>
      <w:r w:rsidR="001122FD" w:rsidRPr="006D5371">
        <w:rPr>
          <w:sz w:val="24"/>
          <w:szCs w:val="24"/>
        </w:rPr>
        <w:tab/>
        <w:t>APPR:</w:t>
      </w:r>
      <w:proofErr w:type="gramStart"/>
      <w:r w:rsidR="004A34CC" w:rsidRPr="006D5371">
        <w:rPr>
          <w:sz w:val="24"/>
          <w:szCs w:val="24"/>
        </w:rPr>
        <w:t>DMG</w:t>
      </w:r>
      <w:r w:rsidR="001122FD" w:rsidRPr="006D5371">
        <w:rPr>
          <w:sz w:val="24"/>
          <w:szCs w:val="24"/>
        </w:rPr>
        <w:t>:</w:t>
      </w:r>
      <w:r w:rsidR="004A34CC" w:rsidRPr="006D5371">
        <w:rPr>
          <w:sz w:val="24"/>
          <w:szCs w:val="24"/>
        </w:rPr>
        <w:t>DBP</w:t>
      </w:r>
      <w:proofErr w:type="gramEnd"/>
      <w:r w:rsidR="001122FD" w:rsidRPr="006D5371">
        <w:rPr>
          <w:sz w:val="24"/>
          <w:szCs w:val="24"/>
        </w:rPr>
        <w:t>:</w:t>
      </w:r>
      <w:r w:rsidR="0039629E" w:rsidRPr="006D5371">
        <w:rPr>
          <w:sz w:val="24"/>
          <w:szCs w:val="24"/>
        </w:rPr>
        <w:t>07-20-22</w:t>
      </w:r>
    </w:p>
    <w:p w14:paraId="4A905DB3" w14:textId="7F278DFB" w:rsidR="00A66749" w:rsidRPr="006D5371" w:rsidRDefault="000C5EC4" w:rsidP="006D5371">
      <w:pPr>
        <w:widowControl w:val="0"/>
        <w:spacing w:before="120" w:after="120"/>
        <w:ind w:firstLine="360"/>
      </w:pPr>
      <w:r w:rsidRPr="006D5371">
        <w:rPr>
          <w:b/>
        </w:rPr>
        <w:t>a.</w:t>
      </w:r>
      <w:r w:rsidRPr="006D5371">
        <w:rPr>
          <w:b/>
        </w:rPr>
        <w:tab/>
      </w:r>
      <w:r w:rsidR="00864A85" w:rsidRPr="006D5371">
        <w:rPr>
          <w:b/>
        </w:rPr>
        <w:t>Description.</w:t>
      </w:r>
      <w:r w:rsidR="00F908A7" w:rsidRPr="006D5371">
        <w:t xml:space="preserve">  </w:t>
      </w:r>
      <w:r w:rsidR="003B0D15" w:rsidRPr="006D5371">
        <w:t>This work consists of</w:t>
      </w:r>
      <w:r w:rsidR="00AD76BB" w:rsidRPr="006D5371">
        <w:t xml:space="preserve"> providing, </w:t>
      </w:r>
      <w:r w:rsidR="003B0D15" w:rsidRPr="006D5371">
        <w:t>c</w:t>
      </w:r>
      <w:r w:rsidR="00F908A7" w:rsidRPr="006D5371">
        <w:t>onstruct</w:t>
      </w:r>
      <w:r w:rsidR="008A1945" w:rsidRPr="006D5371">
        <w:t>ing</w:t>
      </w:r>
      <w:r w:rsidR="00F908A7" w:rsidRPr="006D5371">
        <w:t xml:space="preserve">, </w:t>
      </w:r>
      <w:r w:rsidR="00C0612F" w:rsidRPr="006D5371">
        <w:t>maintaining</w:t>
      </w:r>
      <w:r w:rsidR="00AD76BB" w:rsidRPr="006D5371">
        <w:t xml:space="preserve">, </w:t>
      </w:r>
      <w:r w:rsidR="001E1AF8" w:rsidRPr="006D5371">
        <w:t>remov</w:t>
      </w:r>
      <w:r w:rsidR="008A1945" w:rsidRPr="006D5371">
        <w:t>ing</w:t>
      </w:r>
      <w:r w:rsidR="001E1AF8" w:rsidRPr="006D5371">
        <w:t xml:space="preserve"> </w:t>
      </w:r>
      <w:r w:rsidR="00AD76BB" w:rsidRPr="006D5371">
        <w:t>temporary causeways and temporary access roads</w:t>
      </w:r>
      <w:r w:rsidR="00E12ED3" w:rsidRPr="006D5371">
        <w:t>,</w:t>
      </w:r>
      <w:r w:rsidR="00AD76BB" w:rsidRPr="006D5371">
        <w:t xml:space="preserve"> and restoring disturbed areas to the preconstruction condition.</w:t>
      </w:r>
      <w:r w:rsidR="00231275" w:rsidRPr="006D5371">
        <w:t xml:space="preserve"> </w:t>
      </w:r>
      <w:r w:rsidR="00E55D3D" w:rsidRPr="006D5371">
        <w:t xml:space="preserve"> </w:t>
      </w:r>
      <w:r w:rsidR="00AD76BB" w:rsidRPr="006D5371">
        <w:t xml:space="preserve">Perform this work in accordance </w:t>
      </w:r>
      <w:r w:rsidR="00667747" w:rsidRPr="006D5371">
        <w:t>with the plans,</w:t>
      </w:r>
      <w:r w:rsidR="00AD76BB" w:rsidRPr="006D5371">
        <w:t xml:space="preserve"> the standard specifications</w:t>
      </w:r>
      <w:r w:rsidR="002409D3" w:rsidRPr="006D5371">
        <w:t xml:space="preserve">, </w:t>
      </w:r>
      <w:r w:rsidR="00AD76BB" w:rsidRPr="006D5371">
        <w:t xml:space="preserve">and as specified </w:t>
      </w:r>
      <w:r w:rsidR="004077F5" w:rsidRPr="006D5371">
        <w:t>herein</w:t>
      </w:r>
      <w:r w:rsidR="00AD76BB" w:rsidRPr="006D5371">
        <w:t>.</w:t>
      </w:r>
    </w:p>
    <w:p w14:paraId="4BFBD4B5" w14:textId="5284ADE1" w:rsidR="00AD76BB" w:rsidRPr="006D5371" w:rsidRDefault="00AD76BB" w:rsidP="006D5371">
      <w:pPr>
        <w:widowControl w:val="0"/>
        <w:spacing w:before="120" w:after="120"/>
      </w:pPr>
      <w:r w:rsidRPr="006D5371">
        <w:t>The following definitions apply to this work:</w:t>
      </w:r>
    </w:p>
    <w:p w14:paraId="5119C72D" w14:textId="527E0E7A" w:rsidR="00AD76BB" w:rsidRPr="006D5371" w:rsidRDefault="00AD76BB" w:rsidP="006D5371">
      <w:pPr>
        <w:widowControl w:val="0"/>
        <w:spacing w:before="120" w:after="120"/>
        <w:ind w:left="360" w:hanging="360"/>
      </w:pPr>
      <w:r w:rsidRPr="006D5371">
        <w:rPr>
          <w:b/>
          <w:bCs/>
        </w:rPr>
        <w:t>Temporary Causeway.</w:t>
      </w:r>
      <w:r w:rsidRPr="006D5371">
        <w:t xml:space="preserve"> </w:t>
      </w:r>
      <w:r w:rsidR="00167415" w:rsidRPr="006D5371">
        <w:t xml:space="preserve"> </w:t>
      </w:r>
      <w:r w:rsidRPr="006D5371">
        <w:t xml:space="preserve">A </w:t>
      </w:r>
      <w:r w:rsidR="00167415" w:rsidRPr="006D5371">
        <w:t>r</w:t>
      </w:r>
      <w:r w:rsidRPr="006D5371">
        <w:t xml:space="preserve">oad or work pad </w:t>
      </w:r>
      <w:proofErr w:type="gramStart"/>
      <w:r w:rsidRPr="006D5371">
        <w:t>constructed</w:t>
      </w:r>
      <w:proofErr w:type="gramEnd"/>
      <w:r w:rsidRPr="006D5371">
        <w:t xml:space="preserve"> within the watercourse for temporary access of construction personnel</w:t>
      </w:r>
      <w:r w:rsidR="00C36E0D" w:rsidRPr="006D5371">
        <w:t>, materials</w:t>
      </w:r>
      <w:r w:rsidRPr="006D5371">
        <w:t xml:space="preserve"> and equipment</w:t>
      </w:r>
      <w:r w:rsidR="00A477F0" w:rsidRPr="006D5371">
        <w:t xml:space="preserve"> to facilitate the proposed work</w:t>
      </w:r>
      <w:r w:rsidRPr="006D5371">
        <w:t>.</w:t>
      </w:r>
    </w:p>
    <w:p w14:paraId="48A29069" w14:textId="29D70C6E" w:rsidR="00AD76BB" w:rsidRPr="006D5371" w:rsidRDefault="00AD76BB" w:rsidP="006D5371">
      <w:pPr>
        <w:widowControl w:val="0"/>
        <w:spacing w:before="120" w:after="120"/>
        <w:ind w:left="360" w:hanging="360"/>
      </w:pPr>
      <w:r w:rsidRPr="006D5371">
        <w:rPr>
          <w:b/>
          <w:bCs/>
        </w:rPr>
        <w:t xml:space="preserve">Temporary </w:t>
      </w:r>
      <w:r w:rsidR="00167415" w:rsidRPr="006D5371">
        <w:rPr>
          <w:b/>
          <w:bCs/>
        </w:rPr>
        <w:t>Access Road</w:t>
      </w:r>
      <w:r w:rsidRPr="006D5371">
        <w:rPr>
          <w:b/>
          <w:bCs/>
        </w:rPr>
        <w:t>.</w:t>
      </w:r>
      <w:r w:rsidR="00167415" w:rsidRPr="006D5371">
        <w:rPr>
          <w:bCs/>
        </w:rPr>
        <w:t xml:space="preserve"> </w:t>
      </w:r>
      <w:r w:rsidRPr="006D5371">
        <w:t xml:space="preserve"> A </w:t>
      </w:r>
      <w:r w:rsidR="00167415" w:rsidRPr="006D5371">
        <w:t>r</w:t>
      </w:r>
      <w:r w:rsidRPr="006D5371">
        <w:t xml:space="preserve">oad or work pad constructed </w:t>
      </w:r>
      <w:r w:rsidR="00167415" w:rsidRPr="006D5371">
        <w:t xml:space="preserve">on existing ground outside of the </w:t>
      </w:r>
      <w:r w:rsidRPr="006D5371">
        <w:t>watercourse for temporary access of construction personnel</w:t>
      </w:r>
      <w:r w:rsidR="00C36E0D" w:rsidRPr="006D5371">
        <w:t>, materials</w:t>
      </w:r>
      <w:r w:rsidRPr="006D5371">
        <w:t xml:space="preserve"> and equipment</w:t>
      </w:r>
      <w:r w:rsidR="00A477F0" w:rsidRPr="006D5371">
        <w:t xml:space="preserve"> to facilitate the proposed work</w:t>
      </w:r>
      <w:r w:rsidRPr="006D5371">
        <w:t>.</w:t>
      </w:r>
    </w:p>
    <w:p w14:paraId="04FE5015" w14:textId="449A47C4" w:rsidR="00200366" w:rsidRPr="006D5371" w:rsidRDefault="00864A85" w:rsidP="006D5371">
      <w:pPr>
        <w:widowControl w:val="0"/>
        <w:spacing w:before="120" w:after="120"/>
        <w:ind w:firstLine="360"/>
      </w:pPr>
      <w:proofErr w:type="spellStart"/>
      <w:r w:rsidRPr="006D5371">
        <w:rPr>
          <w:b/>
        </w:rPr>
        <w:t>b.</w:t>
      </w:r>
      <w:proofErr w:type="spellEnd"/>
      <w:r w:rsidRPr="006D5371">
        <w:rPr>
          <w:b/>
        </w:rPr>
        <w:tab/>
        <w:t>Materials.</w:t>
      </w:r>
      <w:r w:rsidR="003E6101" w:rsidRPr="006D5371">
        <w:t xml:space="preserve">  </w:t>
      </w:r>
      <w:r w:rsidR="00B40C26" w:rsidRPr="006D5371">
        <w:t>Furnish</w:t>
      </w:r>
      <w:r w:rsidR="00167415" w:rsidRPr="006D5371">
        <w:t xml:space="preserve"> the following materials.</w:t>
      </w:r>
    </w:p>
    <w:p w14:paraId="612E849B" w14:textId="4DFEAFAA" w:rsidR="00B861FF" w:rsidRPr="006D5371" w:rsidRDefault="000C5EC4" w:rsidP="006D5371">
      <w:pPr>
        <w:widowControl w:val="0"/>
        <w:spacing w:before="120" w:after="120"/>
        <w:ind w:left="360" w:firstLine="360"/>
      </w:pPr>
      <w:r w:rsidRPr="006D5371">
        <w:t>1.</w:t>
      </w:r>
      <w:r w:rsidRPr="006D5371">
        <w:tab/>
      </w:r>
      <w:r w:rsidR="00167415" w:rsidRPr="006D5371">
        <w:t xml:space="preserve">Aggregate.  </w:t>
      </w:r>
      <w:r w:rsidR="00B40C26" w:rsidRPr="006D5371">
        <w:t xml:space="preserve">Furnish </w:t>
      </w:r>
      <w:r w:rsidR="00167415" w:rsidRPr="006D5371">
        <w:t xml:space="preserve">Class </w:t>
      </w:r>
      <w:r w:rsidR="00664135" w:rsidRPr="006D5371">
        <w:t>46G</w:t>
      </w:r>
      <w:r w:rsidR="00167415" w:rsidRPr="006D5371">
        <w:t xml:space="preserve"> </w:t>
      </w:r>
      <w:r w:rsidR="00664135" w:rsidRPr="006D5371">
        <w:t>open</w:t>
      </w:r>
      <w:r w:rsidR="00167415" w:rsidRPr="006D5371">
        <w:t>-graded aggregate in accordance with section 902 of the Standard Specifications for Construction.  Ensure the aggregate is clean and washed when used to construct the temporary causeways</w:t>
      </w:r>
      <w:r w:rsidR="00F47F1C" w:rsidRPr="006D5371">
        <w:t xml:space="preserve"> and the temporary access roads </w:t>
      </w:r>
      <w:r w:rsidR="00A477F0" w:rsidRPr="006D5371">
        <w:t xml:space="preserve">in or </w:t>
      </w:r>
      <w:r w:rsidR="00F47F1C" w:rsidRPr="006D5371">
        <w:t>within 100 feet of the watercourse.</w:t>
      </w:r>
    </w:p>
    <w:p w14:paraId="0D10ED83" w14:textId="6A02FDFB" w:rsidR="00F47F1C" w:rsidRPr="006D5371" w:rsidRDefault="002A44DA" w:rsidP="006D5371">
      <w:pPr>
        <w:widowControl w:val="0"/>
        <w:spacing w:before="120" w:after="120"/>
        <w:ind w:left="360" w:firstLine="360"/>
      </w:pPr>
      <w:r w:rsidRPr="006D5371">
        <w:t>2.</w:t>
      </w:r>
      <w:r w:rsidRPr="006D5371">
        <w:tab/>
      </w:r>
      <w:r w:rsidR="00062B9B" w:rsidRPr="006D5371">
        <w:t xml:space="preserve">Heavy Riprap.  </w:t>
      </w:r>
      <w:r w:rsidR="00B40C26" w:rsidRPr="006D5371">
        <w:t xml:space="preserve">Furnish </w:t>
      </w:r>
      <w:r w:rsidR="00062B9B" w:rsidRPr="006D5371">
        <w:t>heavy riprap in accordance with section 916 of the Standard Specifications for Construction.  Do not use crushed concrete within 100 feet of the watercourse</w:t>
      </w:r>
      <w:r w:rsidR="00B40C26" w:rsidRPr="006D5371">
        <w:t>.</w:t>
      </w:r>
    </w:p>
    <w:p w14:paraId="46783D39" w14:textId="0FD67275" w:rsidR="00B861FF" w:rsidRPr="006D5371" w:rsidRDefault="002A44DA" w:rsidP="006D5371">
      <w:pPr>
        <w:widowControl w:val="0"/>
        <w:spacing w:before="120" w:after="120"/>
        <w:ind w:left="360" w:firstLine="360"/>
      </w:pPr>
      <w:r w:rsidRPr="006D5371">
        <w:t>3.</w:t>
      </w:r>
      <w:r w:rsidRPr="006D5371">
        <w:tab/>
      </w:r>
      <w:r w:rsidR="00B861FF" w:rsidRPr="006D5371">
        <w:t xml:space="preserve">Timber Lags.  </w:t>
      </w:r>
      <w:r w:rsidR="002007D0" w:rsidRPr="006D5371">
        <w:t>Use structural grade timber meeting the following specifications</w:t>
      </w:r>
      <w:r w:rsidR="00A477F0" w:rsidRPr="006D5371">
        <w:t>:</w:t>
      </w:r>
    </w:p>
    <w:p w14:paraId="28971812" w14:textId="6BC0A87E" w:rsidR="009B1319" w:rsidRPr="006D5371" w:rsidRDefault="002A44DA" w:rsidP="006D5371">
      <w:pPr>
        <w:widowControl w:val="0"/>
        <w:spacing w:before="120" w:after="120"/>
        <w:ind w:left="720" w:firstLine="360"/>
      </w:pPr>
      <w:r w:rsidRPr="006D5371">
        <w:t>A.</w:t>
      </w:r>
      <w:r w:rsidRPr="006D5371">
        <w:tab/>
      </w:r>
      <w:r w:rsidR="009B1319" w:rsidRPr="006D5371">
        <w:t>F</w:t>
      </w:r>
      <w:r w:rsidR="009B1319" w:rsidRPr="006D5371">
        <w:rPr>
          <w:vertAlign w:val="subscript"/>
        </w:rPr>
        <w:t>b</w:t>
      </w:r>
      <w:r w:rsidR="009B1319" w:rsidRPr="006D5371">
        <w:t xml:space="preserve"> = 1200 psi.</w:t>
      </w:r>
    </w:p>
    <w:p w14:paraId="6A804928" w14:textId="683812FB" w:rsidR="009B1319" w:rsidRPr="006D5371" w:rsidRDefault="002A44DA" w:rsidP="006D5371">
      <w:pPr>
        <w:widowControl w:val="0"/>
        <w:spacing w:before="120" w:after="120"/>
        <w:ind w:left="720" w:firstLine="360"/>
      </w:pPr>
      <w:r w:rsidRPr="006D5371">
        <w:t>B.</w:t>
      </w:r>
      <w:r w:rsidRPr="006D5371">
        <w:tab/>
      </w:r>
      <w:proofErr w:type="spellStart"/>
      <w:r w:rsidR="009B1319" w:rsidRPr="006D5371">
        <w:t>F</w:t>
      </w:r>
      <w:r w:rsidR="009B1319" w:rsidRPr="006D5371">
        <w:rPr>
          <w:vertAlign w:val="subscript"/>
        </w:rPr>
        <w:t>v</w:t>
      </w:r>
      <w:proofErr w:type="spellEnd"/>
      <w:r w:rsidR="009B1319" w:rsidRPr="006D5371">
        <w:t xml:space="preserve"> (</w:t>
      </w:r>
      <w:proofErr w:type="spellStart"/>
      <w:r w:rsidR="009B1319" w:rsidRPr="006D5371">
        <w:t>horiz</w:t>
      </w:r>
      <w:proofErr w:type="spellEnd"/>
      <w:r w:rsidR="009B1319" w:rsidRPr="006D5371">
        <w:t>.) = 100 psi.</w:t>
      </w:r>
    </w:p>
    <w:p w14:paraId="2730DFCD" w14:textId="22C7448F" w:rsidR="00062B9B" w:rsidRPr="006D5371" w:rsidRDefault="002A44DA" w:rsidP="006D5371">
      <w:pPr>
        <w:widowControl w:val="0"/>
        <w:spacing w:before="120" w:after="120"/>
        <w:ind w:left="360" w:firstLine="360"/>
      </w:pPr>
      <w:r w:rsidRPr="006D5371">
        <w:t>4.</w:t>
      </w:r>
      <w:r w:rsidR="003E3176" w:rsidRPr="006D5371">
        <w:tab/>
      </w:r>
      <w:r w:rsidR="00062B9B" w:rsidRPr="006D5371">
        <w:t xml:space="preserve">Geotextile.  </w:t>
      </w:r>
      <w:r w:rsidR="003A6CF4" w:rsidRPr="006D5371">
        <w:t xml:space="preserve">Furnish </w:t>
      </w:r>
      <w:r w:rsidR="00062B9B" w:rsidRPr="006D5371">
        <w:t xml:space="preserve">heavy geotextile liner </w:t>
      </w:r>
      <w:r w:rsidR="009C2B0A" w:rsidRPr="006D5371">
        <w:t xml:space="preserve">and stabilization geotextile </w:t>
      </w:r>
      <w:r w:rsidR="00062B9B" w:rsidRPr="006D5371">
        <w:t>in accordance with section 91</w:t>
      </w:r>
      <w:r w:rsidR="009C2B0A" w:rsidRPr="006D5371">
        <w:t>0</w:t>
      </w:r>
      <w:r w:rsidR="00062B9B" w:rsidRPr="006D5371">
        <w:t xml:space="preserve"> of the Standard Specification</w:t>
      </w:r>
      <w:r w:rsidR="00A477F0" w:rsidRPr="006D5371">
        <w:t>s</w:t>
      </w:r>
      <w:r w:rsidR="00062B9B" w:rsidRPr="006D5371">
        <w:t xml:space="preserve"> for Construction</w:t>
      </w:r>
      <w:r w:rsidR="009C2B0A" w:rsidRPr="006D5371">
        <w:t>.</w:t>
      </w:r>
    </w:p>
    <w:p w14:paraId="2A8E22C0" w14:textId="31AC6A44" w:rsidR="009C2B0A" w:rsidRPr="006D5371" w:rsidRDefault="003E3176" w:rsidP="006D5371">
      <w:pPr>
        <w:widowControl w:val="0"/>
        <w:spacing w:before="120" w:after="120"/>
        <w:ind w:left="360" w:firstLine="360"/>
      </w:pPr>
      <w:r w:rsidRPr="006D5371">
        <w:t>5.</w:t>
      </w:r>
      <w:r w:rsidRPr="006D5371">
        <w:tab/>
      </w:r>
      <w:r w:rsidR="009C2B0A" w:rsidRPr="006D5371">
        <w:t xml:space="preserve">Silt Fence.  </w:t>
      </w:r>
      <w:r w:rsidR="003A6CF4" w:rsidRPr="006D5371">
        <w:t xml:space="preserve">Furnish </w:t>
      </w:r>
      <w:r w:rsidR="009C2B0A" w:rsidRPr="006D5371">
        <w:t>silt fence in accordance with section 916 of the Standard Specifications for Construction.</w:t>
      </w:r>
    </w:p>
    <w:p w14:paraId="7146D894" w14:textId="40C7E61C" w:rsidR="002F1875" w:rsidRPr="006D5371" w:rsidRDefault="003E3176" w:rsidP="006D5371">
      <w:pPr>
        <w:widowControl w:val="0"/>
        <w:spacing w:before="120" w:after="120"/>
        <w:ind w:left="360" w:firstLine="360"/>
      </w:pPr>
      <w:r w:rsidRPr="006D5371">
        <w:t>6.</w:t>
      </w:r>
      <w:r w:rsidRPr="006D5371">
        <w:tab/>
      </w:r>
      <w:r w:rsidR="002F1875" w:rsidRPr="006D5371">
        <w:t xml:space="preserve">Turbidity Curtain.  </w:t>
      </w:r>
      <w:r w:rsidR="003A6CF4" w:rsidRPr="006D5371">
        <w:t xml:space="preserve">Furnish </w:t>
      </w:r>
      <w:r w:rsidR="002F1875" w:rsidRPr="006D5371">
        <w:t>turbidity curtain</w:t>
      </w:r>
      <w:r w:rsidR="00664135" w:rsidRPr="006D5371">
        <w:t>, shallow or deep as appropriate,</w:t>
      </w:r>
      <w:r w:rsidR="002F1875" w:rsidRPr="006D5371">
        <w:t xml:space="preserve"> in accordance with section 916 of the Standard Specifications for Construction.</w:t>
      </w:r>
    </w:p>
    <w:p w14:paraId="4DD17CA0" w14:textId="198DDAE2" w:rsidR="004077F5" w:rsidRPr="006D5371" w:rsidRDefault="003E3176" w:rsidP="006D5371">
      <w:pPr>
        <w:widowControl w:val="0"/>
        <w:spacing w:before="120" w:after="120"/>
        <w:ind w:left="360" w:firstLine="360"/>
      </w:pPr>
      <w:r w:rsidRPr="006D5371">
        <w:t>7.</w:t>
      </w:r>
      <w:r w:rsidRPr="006D5371">
        <w:tab/>
      </w:r>
      <w:r w:rsidR="00B71828" w:rsidRPr="006D5371">
        <w:t xml:space="preserve">Embankment.  </w:t>
      </w:r>
      <w:r w:rsidR="003A6CF4" w:rsidRPr="006D5371">
        <w:t xml:space="preserve">Furnish </w:t>
      </w:r>
      <w:r w:rsidR="000F06C4" w:rsidRPr="006D5371">
        <w:t>granular m</w:t>
      </w:r>
      <w:r w:rsidR="00B71828" w:rsidRPr="006D5371">
        <w:t xml:space="preserve">aterial Class II in accordance with section 902 of the Standard Specifications for Construction.  </w:t>
      </w:r>
      <w:r w:rsidR="00A2271A" w:rsidRPr="006D5371">
        <w:t xml:space="preserve">Do not </w:t>
      </w:r>
      <w:proofErr w:type="gramStart"/>
      <w:r w:rsidR="00A2271A" w:rsidRPr="006D5371">
        <w:t>use for</w:t>
      </w:r>
      <w:proofErr w:type="gramEnd"/>
      <w:r w:rsidR="00A2271A" w:rsidRPr="006D5371">
        <w:t xml:space="preserve"> the temporary causeway or the </w:t>
      </w:r>
      <w:proofErr w:type="gramStart"/>
      <w:r w:rsidR="00A2271A" w:rsidRPr="006D5371">
        <w:lastRenderedPageBreak/>
        <w:t>temporary</w:t>
      </w:r>
      <w:proofErr w:type="gramEnd"/>
      <w:r w:rsidR="00A2271A" w:rsidRPr="006D5371">
        <w:t xml:space="preserve"> access </w:t>
      </w:r>
      <w:proofErr w:type="gramStart"/>
      <w:r w:rsidR="00A2271A" w:rsidRPr="006D5371">
        <w:t>road</w:t>
      </w:r>
      <w:proofErr w:type="gramEnd"/>
      <w:r w:rsidR="00A2271A" w:rsidRPr="006D5371">
        <w:t xml:space="preserve"> within 100 feet of the watercourse.</w:t>
      </w:r>
    </w:p>
    <w:p w14:paraId="72FF3771" w14:textId="552F4E9F" w:rsidR="008E0E47" w:rsidRPr="006D5371" w:rsidRDefault="008E0E47" w:rsidP="006D5371">
      <w:pPr>
        <w:widowControl w:val="0"/>
        <w:spacing w:before="120" w:after="120"/>
        <w:ind w:left="360" w:firstLine="360"/>
      </w:pPr>
      <w:r w:rsidRPr="006D5371">
        <w:t>8.</w:t>
      </w:r>
      <w:r w:rsidRPr="006D5371">
        <w:tab/>
      </w:r>
      <w:r w:rsidR="007958A4" w:rsidRPr="006D5371">
        <w:t>Temporary Steel Sheet Piling.  Furnish temporary steel sheet piling in accordance with section 704 of the Standard Specifications for Construction.</w:t>
      </w:r>
    </w:p>
    <w:p w14:paraId="23063DE4" w14:textId="5D5BF633" w:rsidR="009C2B0A" w:rsidRPr="006D5371" w:rsidRDefault="00064DF7" w:rsidP="006D5371">
      <w:pPr>
        <w:widowControl w:val="0"/>
        <w:spacing w:before="120" w:after="120"/>
        <w:ind w:left="360" w:firstLine="360"/>
      </w:pPr>
      <w:r w:rsidRPr="006D5371">
        <w:t>9</w:t>
      </w:r>
      <w:r w:rsidR="003E3176" w:rsidRPr="006D5371">
        <w:t>.</w:t>
      </w:r>
      <w:r w:rsidR="003E3176" w:rsidRPr="006D5371">
        <w:tab/>
      </w:r>
      <w:r w:rsidR="009C2B0A" w:rsidRPr="006D5371">
        <w:t xml:space="preserve">Well Graded Riprap.  </w:t>
      </w:r>
      <w:r w:rsidR="003A6CF4" w:rsidRPr="006D5371">
        <w:t xml:space="preserve">Furnish </w:t>
      </w:r>
      <w:r w:rsidR="009C2B0A" w:rsidRPr="006D5371">
        <w:t>quarried aggregate or waste mine rock stone for riprap that is free from shale, spoil</w:t>
      </w:r>
      <w:r w:rsidR="00363581" w:rsidRPr="006D5371">
        <w:t>,</w:t>
      </w:r>
      <w:r w:rsidR="009C2B0A" w:rsidRPr="006D5371">
        <w:t xml:space="preserve"> and organic material.  Ensure the stone is hard, angular, </w:t>
      </w:r>
      <w:r w:rsidR="00363581" w:rsidRPr="006D5371">
        <w:t>durable,</w:t>
      </w:r>
      <w:r w:rsidR="009C2B0A" w:rsidRPr="006D5371">
        <w:t xml:space="preserve"> and resistant to weathering and water </w:t>
      </w:r>
      <w:r w:rsidR="00363581" w:rsidRPr="006D5371">
        <w:t>action,</w:t>
      </w:r>
      <w:r w:rsidR="009C2B0A" w:rsidRPr="006D5371">
        <w:t xml:space="preserve"> having a specific gravity not less than 2.5 and a maximum absorption of 2.5 percent </w:t>
      </w:r>
      <w:r w:rsidR="003A6CF4" w:rsidRPr="006D5371">
        <w:t xml:space="preserve">in </w:t>
      </w:r>
      <w:r w:rsidR="009C2B0A" w:rsidRPr="006D5371">
        <w:t>accord</w:t>
      </w:r>
      <w:r w:rsidR="003A6CF4" w:rsidRPr="006D5371">
        <w:t xml:space="preserve">ance with </w:t>
      </w:r>
      <w:r w:rsidR="009C2B0A" w:rsidRPr="006D5371">
        <w:rPr>
          <w:i/>
          <w:iCs/>
        </w:rPr>
        <w:t>ASTM C127</w:t>
      </w:r>
      <w:r w:rsidR="009C2B0A" w:rsidRPr="006D5371">
        <w:t xml:space="preserve">. </w:t>
      </w:r>
      <w:r w:rsidR="00363581" w:rsidRPr="006D5371">
        <w:t xml:space="preserve"> </w:t>
      </w:r>
      <w:r w:rsidR="009C2B0A" w:rsidRPr="006D5371">
        <w:t xml:space="preserve">Ensure the ratio of greatest to least dimension does not exceed 3:1 for any individual stone.  Do not </w:t>
      </w:r>
      <w:r w:rsidR="00363581" w:rsidRPr="006D5371">
        <w:t>use</w:t>
      </w:r>
      <w:r w:rsidR="009C2B0A" w:rsidRPr="006D5371">
        <w:t xml:space="preserve"> crushed concrete within 100 feet of the water</w:t>
      </w:r>
      <w:r w:rsidR="00363581" w:rsidRPr="006D5371">
        <w:t>course</w:t>
      </w:r>
      <w:r w:rsidR="008D55C5" w:rsidRPr="006D5371">
        <w:t>.</w:t>
      </w:r>
    </w:p>
    <w:p w14:paraId="4D451EB0" w14:textId="220E990D" w:rsidR="008D55C5" w:rsidRPr="006D5371" w:rsidRDefault="008D55C5" w:rsidP="006D5371">
      <w:pPr>
        <w:widowControl w:val="0"/>
        <w:spacing w:before="120" w:after="120"/>
        <w:ind w:left="360"/>
      </w:pPr>
      <w:r w:rsidRPr="006D5371">
        <w:t xml:space="preserve">The </w:t>
      </w:r>
      <w:proofErr w:type="gramStart"/>
      <w:r w:rsidRPr="006D5371">
        <w:t>gradation</w:t>
      </w:r>
      <w:proofErr w:type="gramEnd"/>
      <w:r w:rsidRPr="006D5371">
        <w:t xml:space="preserve"> must meet the requirements specified in Table 1.  Acceptance of the gradation will be based on visual inspection of riprap in-place by the Engineer.  Sampling for laboratory testing will be at the discretion of the Engineer.</w:t>
      </w:r>
    </w:p>
    <w:p w14:paraId="6C91446E" w14:textId="77777777" w:rsidR="00BB5F91" w:rsidRPr="006D5371" w:rsidRDefault="000F7777" w:rsidP="006D5371">
      <w:pPr>
        <w:widowControl w:val="0"/>
        <w:spacing w:before="120"/>
        <w:jc w:val="center"/>
        <w:rPr>
          <w:bCs/>
        </w:rPr>
      </w:pPr>
      <w:r w:rsidRPr="006D5371">
        <w:rPr>
          <w:b/>
        </w:rPr>
        <w:t>T</w:t>
      </w:r>
      <w:r w:rsidR="00BB5F91" w:rsidRPr="006D5371">
        <w:rPr>
          <w:b/>
        </w:rPr>
        <w:t>able 1</w:t>
      </w:r>
      <w:proofErr w:type="gramStart"/>
      <w:r w:rsidR="00987DFA" w:rsidRPr="006D5371">
        <w:rPr>
          <w:b/>
        </w:rPr>
        <w:t>:</w:t>
      </w:r>
      <w:r w:rsidR="00BB5F91" w:rsidRPr="006D5371">
        <w:rPr>
          <w:b/>
        </w:rPr>
        <w:t xml:space="preserve">  Well</w:t>
      </w:r>
      <w:proofErr w:type="gramEnd"/>
      <w:r w:rsidR="00BB5F91" w:rsidRPr="006D5371">
        <w:rPr>
          <w:b/>
        </w:rPr>
        <w:t xml:space="preserve"> Graded Riprap Gradation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  <w:tblCaption w:val="Well Graded Riprap Gradation"/>
        <w:tblDescription w:val="This table provides the gradation requirements for the riprap based on the percentage smaller than the various sizes least dimension of the riprap supplied."/>
      </w:tblPr>
      <w:tblGrid>
        <w:gridCol w:w="3013"/>
        <w:gridCol w:w="2747"/>
      </w:tblGrid>
      <w:tr w:rsidR="008D55C5" w:rsidRPr="006D5371" w14:paraId="0A6CE42B" w14:textId="77777777" w:rsidTr="00490580">
        <w:trPr>
          <w:trHeight w:val="432"/>
          <w:jc w:val="center"/>
        </w:trPr>
        <w:tc>
          <w:tcPr>
            <w:tcW w:w="8986" w:type="dxa"/>
            <w:vAlign w:val="center"/>
          </w:tcPr>
          <w:p w14:paraId="5A36881C" w14:textId="1E68CBC3" w:rsidR="008D55C5" w:rsidRPr="006D5371" w:rsidRDefault="008D55C5" w:rsidP="006D5371">
            <w:pPr>
              <w:widowControl w:val="0"/>
              <w:jc w:val="center"/>
            </w:pPr>
            <w:r w:rsidRPr="006D5371">
              <w:t>Least Dimension, inch</w:t>
            </w:r>
          </w:p>
        </w:tc>
        <w:tc>
          <w:tcPr>
            <w:tcW w:w="8986" w:type="dxa"/>
            <w:vAlign w:val="center"/>
          </w:tcPr>
          <w:p w14:paraId="79108936" w14:textId="0FA70E9B" w:rsidR="008D55C5" w:rsidRPr="006D5371" w:rsidRDefault="004077F5" w:rsidP="006D5371">
            <w:pPr>
              <w:widowControl w:val="0"/>
              <w:jc w:val="center"/>
            </w:pPr>
            <w:r w:rsidRPr="006D5371">
              <w:t xml:space="preserve">Percent Smaller </w:t>
            </w:r>
            <w:r w:rsidR="003A6CF4" w:rsidRPr="006D5371">
              <w:t>T</w:t>
            </w:r>
            <w:r w:rsidRPr="006D5371">
              <w:t>han</w:t>
            </w:r>
          </w:p>
        </w:tc>
      </w:tr>
      <w:tr w:rsidR="008D55C5" w:rsidRPr="006D5371" w14:paraId="2164B977" w14:textId="77777777" w:rsidTr="00490580">
        <w:trPr>
          <w:trHeight w:val="288"/>
          <w:jc w:val="center"/>
        </w:trPr>
        <w:tc>
          <w:tcPr>
            <w:tcW w:w="8986" w:type="dxa"/>
            <w:vAlign w:val="center"/>
          </w:tcPr>
          <w:p w14:paraId="0E79E95E" w14:textId="037B7FA2" w:rsidR="008D55C5" w:rsidRPr="006D5371" w:rsidRDefault="004077F5" w:rsidP="006D5371">
            <w:pPr>
              <w:widowControl w:val="0"/>
              <w:jc w:val="center"/>
            </w:pPr>
            <w:r w:rsidRPr="006D5371">
              <w:t>24</w:t>
            </w:r>
          </w:p>
        </w:tc>
        <w:tc>
          <w:tcPr>
            <w:tcW w:w="8986" w:type="dxa"/>
            <w:vAlign w:val="center"/>
          </w:tcPr>
          <w:p w14:paraId="75FA60E9" w14:textId="65C0BBE7" w:rsidR="008D55C5" w:rsidRPr="006D5371" w:rsidRDefault="004077F5" w:rsidP="006D5371">
            <w:pPr>
              <w:widowControl w:val="0"/>
              <w:jc w:val="center"/>
            </w:pPr>
            <w:r w:rsidRPr="006D5371">
              <w:t>100</w:t>
            </w:r>
          </w:p>
        </w:tc>
      </w:tr>
      <w:tr w:rsidR="008D55C5" w:rsidRPr="006D5371" w14:paraId="099774B1" w14:textId="77777777" w:rsidTr="00490580">
        <w:trPr>
          <w:trHeight w:val="288"/>
          <w:jc w:val="center"/>
        </w:trPr>
        <w:tc>
          <w:tcPr>
            <w:tcW w:w="8986" w:type="dxa"/>
            <w:vAlign w:val="center"/>
          </w:tcPr>
          <w:p w14:paraId="302BD695" w14:textId="3D651044" w:rsidR="008D55C5" w:rsidRPr="006D5371" w:rsidRDefault="004077F5" w:rsidP="006D5371">
            <w:pPr>
              <w:widowControl w:val="0"/>
              <w:jc w:val="center"/>
            </w:pPr>
            <w:r w:rsidRPr="006D5371">
              <w:t>20</w:t>
            </w:r>
          </w:p>
        </w:tc>
        <w:tc>
          <w:tcPr>
            <w:tcW w:w="8986" w:type="dxa"/>
            <w:vAlign w:val="center"/>
          </w:tcPr>
          <w:p w14:paraId="1CD3EF7E" w14:textId="1E3FE284" w:rsidR="008D55C5" w:rsidRPr="006D5371" w:rsidRDefault="004077F5" w:rsidP="006D5371">
            <w:pPr>
              <w:widowControl w:val="0"/>
              <w:jc w:val="center"/>
            </w:pPr>
            <w:r w:rsidRPr="006D5371">
              <w:t>85</w:t>
            </w:r>
          </w:p>
        </w:tc>
      </w:tr>
      <w:tr w:rsidR="008D55C5" w:rsidRPr="006D5371" w14:paraId="5FD04682" w14:textId="77777777" w:rsidTr="00490580">
        <w:trPr>
          <w:trHeight w:val="288"/>
          <w:jc w:val="center"/>
        </w:trPr>
        <w:tc>
          <w:tcPr>
            <w:tcW w:w="8986" w:type="dxa"/>
            <w:vAlign w:val="center"/>
          </w:tcPr>
          <w:p w14:paraId="12645B75" w14:textId="53870818" w:rsidR="008D55C5" w:rsidRPr="006D5371" w:rsidRDefault="004077F5" w:rsidP="006D5371">
            <w:pPr>
              <w:widowControl w:val="0"/>
              <w:jc w:val="center"/>
            </w:pPr>
            <w:r w:rsidRPr="006D5371">
              <w:t>16</w:t>
            </w:r>
          </w:p>
        </w:tc>
        <w:tc>
          <w:tcPr>
            <w:tcW w:w="8986" w:type="dxa"/>
            <w:vAlign w:val="center"/>
          </w:tcPr>
          <w:p w14:paraId="2F1550FA" w14:textId="1ED2732D" w:rsidR="008D55C5" w:rsidRPr="006D5371" w:rsidRDefault="004077F5" w:rsidP="006D5371">
            <w:pPr>
              <w:widowControl w:val="0"/>
              <w:jc w:val="center"/>
            </w:pPr>
            <w:r w:rsidRPr="006D5371">
              <w:t>50</w:t>
            </w:r>
          </w:p>
        </w:tc>
      </w:tr>
      <w:tr w:rsidR="008D55C5" w:rsidRPr="006D5371" w14:paraId="1904D023" w14:textId="77777777" w:rsidTr="00490580">
        <w:trPr>
          <w:trHeight w:val="288"/>
          <w:jc w:val="center"/>
        </w:trPr>
        <w:tc>
          <w:tcPr>
            <w:tcW w:w="8986" w:type="dxa"/>
            <w:vAlign w:val="center"/>
          </w:tcPr>
          <w:p w14:paraId="542DD233" w14:textId="0A99439E" w:rsidR="008D55C5" w:rsidRPr="006D5371" w:rsidRDefault="004077F5" w:rsidP="006D5371">
            <w:pPr>
              <w:widowControl w:val="0"/>
              <w:jc w:val="center"/>
            </w:pPr>
            <w:r w:rsidRPr="006D5371">
              <w:t>8</w:t>
            </w:r>
          </w:p>
        </w:tc>
        <w:tc>
          <w:tcPr>
            <w:tcW w:w="8986" w:type="dxa"/>
            <w:vAlign w:val="center"/>
          </w:tcPr>
          <w:p w14:paraId="7CE5DAB8" w14:textId="531E81CC" w:rsidR="008D55C5" w:rsidRPr="006D5371" w:rsidRDefault="004077F5" w:rsidP="006D5371">
            <w:pPr>
              <w:widowControl w:val="0"/>
              <w:jc w:val="center"/>
            </w:pPr>
            <w:r w:rsidRPr="006D5371">
              <w:t>15</w:t>
            </w:r>
          </w:p>
        </w:tc>
      </w:tr>
    </w:tbl>
    <w:p w14:paraId="66C45354" w14:textId="331CC330" w:rsidR="00A31B0D" w:rsidRPr="006D5371" w:rsidRDefault="002A44DA" w:rsidP="009F3339">
      <w:pPr>
        <w:widowControl w:val="0"/>
        <w:spacing w:before="240" w:after="120"/>
        <w:ind w:firstLine="360"/>
      </w:pPr>
      <w:r w:rsidRPr="006D5371">
        <w:rPr>
          <w:b/>
          <w:bCs/>
        </w:rPr>
        <w:t>c.</w:t>
      </w:r>
      <w:r w:rsidRPr="006D5371">
        <w:rPr>
          <w:b/>
          <w:bCs/>
        </w:rPr>
        <w:tab/>
      </w:r>
      <w:r w:rsidR="00864A85" w:rsidRPr="006D5371">
        <w:rPr>
          <w:b/>
          <w:bCs/>
        </w:rPr>
        <w:t>Construction.</w:t>
      </w:r>
    </w:p>
    <w:p w14:paraId="2A52C950" w14:textId="76AF8138" w:rsidR="00A31B0D" w:rsidRPr="006D5371" w:rsidRDefault="002A44DA" w:rsidP="009F3339">
      <w:pPr>
        <w:widowControl w:val="0"/>
        <w:spacing w:before="120" w:after="120"/>
        <w:ind w:left="360" w:firstLine="360"/>
      </w:pPr>
      <w:r w:rsidRPr="006D5371">
        <w:t>1.</w:t>
      </w:r>
      <w:r w:rsidRPr="006D5371">
        <w:tab/>
      </w:r>
      <w:r w:rsidR="00A31B0D" w:rsidRPr="006D5371">
        <w:t>Submittals.  Submit a plan to the Engineer for review and approval at least 21 calendar days before beginning the work of construct</w:t>
      </w:r>
      <w:r w:rsidR="003E5822" w:rsidRPr="006D5371">
        <w:t>ing the temporary causeway and temporary access road.  The plan must include</w:t>
      </w:r>
      <w:r w:rsidR="00746BF7" w:rsidRPr="006D5371">
        <w:t xml:space="preserve"> the following:</w:t>
      </w:r>
    </w:p>
    <w:p w14:paraId="143EF16E" w14:textId="2D36D794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A.</w:t>
      </w:r>
      <w:r w:rsidRPr="006D5371">
        <w:tab/>
      </w:r>
      <w:r w:rsidR="003E5822" w:rsidRPr="006D5371">
        <w:t>A plan view layout showing the limits of the work,</w:t>
      </w:r>
    </w:p>
    <w:p w14:paraId="2E143582" w14:textId="7CF23CB1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B.</w:t>
      </w:r>
      <w:r w:rsidRPr="006D5371">
        <w:tab/>
      </w:r>
      <w:r w:rsidR="003E5822" w:rsidRPr="006D5371">
        <w:t>Cross-sections through the causeways and access roads, detailing the geometry, each component and change in materials,</w:t>
      </w:r>
    </w:p>
    <w:p w14:paraId="1F830F0A" w14:textId="022F4985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C.</w:t>
      </w:r>
      <w:r w:rsidRPr="006D5371">
        <w:tab/>
      </w:r>
      <w:r w:rsidR="003E5822" w:rsidRPr="006D5371">
        <w:t>Planned excavations,</w:t>
      </w:r>
    </w:p>
    <w:p w14:paraId="4EFA6FE2" w14:textId="15C13DBF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D.</w:t>
      </w:r>
      <w:r w:rsidRPr="006D5371">
        <w:tab/>
      </w:r>
      <w:r w:rsidR="003E5822" w:rsidRPr="006D5371">
        <w:t>Placement of geotextiles,</w:t>
      </w:r>
    </w:p>
    <w:p w14:paraId="566F7325" w14:textId="7FF25E05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E.</w:t>
      </w:r>
      <w:r w:rsidRPr="006D5371">
        <w:tab/>
      </w:r>
      <w:r w:rsidR="003E5822" w:rsidRPr="006D5371">
        <w:t>A sequential description of each step necessary to construct the work,</w:t>
      </w:r>
    </w:p>
    <w:p w14:paraId="568B4A39" w14:textId="56AA5DA0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F.</w:t>
      </w:r>
      <w:r w:rsidRPr="006D5371">
        <w:tab/>
      </w:r>
      <w:r w:rsidR="003E5822" w:rsidRPr="006D5371">
        <w:t>A sequential description of each step necessary to remove the work,</w:t>
      </w:r>
    </w:p>
    <w:p w14:paraId="58F639EE" w14:textId="021D41B2" w:rsidR="003E5822" w:rsidRPr="006D5371" w:rsidRDefault="002A44DA" w:rsidP="009F3339">
      <w:pPr>
        <w:widowControl w:val="0"/>
        <w:spacing w:before="120" w:after="120"/>
        <w:ind w:left="720" w:firstLine="360"/>
      </w:pPr>
      <w:r w:rsidRPr="006D5371">
        <w:t>G.</w:t>
      </w:r>
      <w:r w:rsidRPr="006D5371">
        <w:tab/>
      </w:r>
      <w:r w:rsidR="002B3FB0" w:rsidRPr="006D5371">
        <w:t>Material certifications,</w:t>
      </w:r>
    </w:p>
    <w:p w14:paraId="5FCCB081" w14:textId="0FB2D777" w:rsidR="002B3FB0" w:rsidRPr="006D5371" w:rsidRDefault="002A44DA" w:rsidP="009F3339">
      <w:pPr>
        <w:widowControl w:val="0"/>
        <w:spacing w:before="120" w:after="120"/>
        <w:ind w:left="720" w:firstLine="360"/>
      </w:pPr>
      <w:r w:rsidRPr="006D5371">
        <w:t>H.</w:t>
      </w:r>
      <w:r w:rsidRPr="006D5371">
        <w:tab/>
      </w:r>
      <w:r w:rsidR="002B3FB0" w:rsidRPr="006D5371">
        <w:t>Contingency plan for removing equipment from the causeways in the event of high water,</w:t>
      </w:r>
    </w:p>
    <w:p w14:paraId="6186BAF4" w14:textId="5B9C3CD0" w:rsidR="002B3FB0" w:rsidRPr="006D5371" w:rsidRDefault="002A44DA" w:rsidP="009F3339">
      <w:pPr>
        <w:widowControl w:val="0"/>
        <w:spacing w:before="120" w:after="120"/>
        <w:ind w:left="720" w:firstLine="360"/>
      </w:pPr>
      <w:r w:rsidRPr="006D5371">
        <w:t>I.</w:t>
      </w:r>
      <w:r w:rsidRPr="006D5371">
        <w:tab/>
      </w:r>
      <w:r w:rsidR="002B3FB0" w:rsidRPr="006D5371">
        <w:t>Description of methods used to maintain and repair the temporary causeways and access roads, and</w:t>
      </w:r>
    </w:p>
    <w:p w14:paraId="434D45A9" w14:textId="11BD690B" w:rsidR="002B3FB0" w:rsidRPr="006D5371" w:rsidRDefault="002A44DA" w:rsidP="009F3339">
      <w:pPr>
        <w:widowControl w:val="0"/>
        <w:spacing w:before="120" w:after="120"/>
        <w:ind w:left="720" w:firstLine="360"/>
      </w:pPr>
      <w:r w:rsidRPr="006D5371">
        <w:lastRenderedPageBreak/>
        <w:t>J.</w:t>
      </w:r>
      <w:r w:rsidRPr="006D5371">
        <w:tab/>
      </w:r>
      <w:r w:rsidR="002B3FB0" w:rsidRPr="006D5371">
        <w:t xml:space="preserve">A plan outlining proposed methods and materials to restore the site upon completion of the work.  Complete restoration </w:t>
      </w:r>
      <w:r w:rsidR="0004673E" w:rsidRPr="006D5371">
        <w:t xml:space="preserve">work </w:t>
      </w:r>
      <w:r w:rsidR="002B3FB0" w:rsidRPr="006D5371">
        <w:t>in accordance with the time frame specified in section 208 of the Standard Specifications for Construction.</w:t>
      </w:r>
    </w:p>
    <w:p w14:paraId="4FD66A78" w14:textId="5DCC2701" w:rsidR="00296E06" w:rsidRPr="006D5371" w:rsidRDefault="00296E06" w:rsidP="009F3339">
      <w:pPr>
        <w:widowControl w:val="0"/>
        <w:spacing w:before="120" w:after="120"/>
        <w:ind w:left="360"/>
      </w:pPr>
      <w:r w:rsidRPr="006D5371">
        <w:t>Deviations from the contract are subject to the approval of the Engineer</w:t>
      </w:r>
      <w:r w:rsidR="006737EF" w:rsidRPr="006D5371">
        <w:t>, EGLE, and the United States Army Corps of Engineers</w:t>
      </w:r>
      <w:r w:rsidR="0004673E" w:rsidRPr="006D5371">
        <w:t xml:space="preserve"> (USACE)</w:t>
      </w:r>
      <w:r w:rsidRPr="006D5371">
        <w:t xml:space="preserve">.  Submit proposed deviations from the contract to the Engineer for review.  If the proposed deviations are acceptable to the Engineer, the Engineer will submit the proposed deviations to EGLE </w:t>
      </w:r>
      <w:r w:rsidR="006737EF" w:rsidRPr="006D5371">
        <w:t xml:space="preserve">and </w:t>
      </w:r>
      <w:proofErr w:type="gramStart"/>
      <w:r w:rsidR="006737EF" w:rsidRPr="006D5371">
        <w:t xml:space="preserve">the </w:t>
      </w:r>
      <w:r w:rsidR="0004673E" w:rsidRPr="006D5371">
        <w:t>USACE</w:t>
      </w:r>
      <w:proofErr w:type="gramEnd"/>
      <w:r w:rsidR="006737EF" w:rsidRPr="006D5371">
        <w:t xml:space="preserve"> </w:t>
      </w:r>
      <w:r w:rsidRPr="006D5371">
        <w:t>for review.</w:t>
      </w:r>
      <w:r w:rsidR="006F3C25" w:rsidRPr="006D5371">
        <w:t xml:space="preserve"> </w:t>
      </w:r>
      <w:r w:rsidRPr="006D5371">
        <w:t xml:space="preserve"> Do not deviate from the contract unless written approval </w:t>
      </w:r>
      <w:r w:rsidR="008F550E" w:rsidRPr="006D5371">
        <w:t xml:space="preserve">has been received </w:t>
      </w:r>
      <w:r w:rsidRPr="006D5371">
        <w:t xml:space="preserve">from </w:t>
      </w:r>
      <w:proofErr w:type="gramStart"/>
      <w:r w:rsidRPr="006D5371">
        <w:t>the Engineer</w:t>
      </w:r>
      <w:proofErr w:type="gramEnd"/>
      <w:r w:rsidR="006737EF" w:rsidRPr="006D5371">
        <w:t xml:space="preserve">, </w:t>
      </w:r>
      <w:r w:rsidRPr="006D5371">
        <w:t>EGLE</w:t>
      </w:r>
      <w:r w:rsidR="006737EF" w:rsidRPr="006D5371">
        <w:t xml:space="preserve">, and </w:t>
      </w:r>
      <w:proofErr w:type="gramStart"/>
      <w:r w:rsidR="006737EF" w:rsidRPr="006D5371">
        <w:t xml:space="preserve">the </w:t>
      </w:r>
      <w:r w:rsidR="00AA3AB9" w:rsidRPr="006D5371">
        <w:t>USACE</w:t>
      </w:r>
      <w:proofErr w:type="gramEnd"/>
      <w:r w:rsidR="00520447" w:rsidRPr="006D5371">
        <w:t>.  No additional compensation or time will be granted in securing, or attempting to secure, approvals.</w:t>
      </w:r>
    </w:p>
    <w:p w14:paraId="2040A74C" w14:textId="5955343C" w:rsidR="00BD68AD" w:rsidRPr="006D5371" w:rsidRDefault="002A44DA" w:rsidP="009F3339">
      <w:pPr>
        <w:widowControl w:val="0"/>
        <w:spacing w:before="120" w:after="120"/>
        <w:ind w:left="360" w:firstLine="360"/>
      </w:pPr>
      <w:r w:rsidRPr="006D5371">
        <w:t>2.</w:t>
      </w:r>
      <w:r w:rsidRPr="006D5371">
        <w:tab/>
      </w:r>
      <w:r w:rsidR="00BD68AD" w:rsidRPr="006D5371">
        <w:t xml:space="preserve">Installation.  Adhere to all restrictions in the contract. </w:t>
      </w:r>
      <w:r w:rsidR="006F3C25" w:rsidRPr="006D5371">
        <w:t xml:space="preserve"> </w:t>
      </w:r>
      <w:r w:rsidR="00BD68AD" w:rsidRPr="006D5371">
        <w:t xml:space="preserve">Perform excavations as shown on the plans and in accordance with section 205 of the Standard Specifications for </w:t>
      </w:r>
      <w:r w:rsidR="00242CD3" w:rsidRPr="006D5371">
        <w:t>Construction.</w:t>
      </w:r>
    </w:p>
    <w:p w14:paraId="764480EB" w14:textId="040A44FB" w:rsidR="00031ED9" w:rsidRPr="006D5371" w:rsidRDefault="00242CD3" w:rsidP="009F3339">
      <w:pPr>
        <w:widowControl w:val="0"/>
        <w:spacing w:before="120" w:after="120"/>
        <w:ind w:left="360"/>
      </w:pPr>
      <w:r w:rsidRPr="006D5371">
        <w:t xml:space="preserve">Construct the temporary causeways </w:t>
      </w:r>
      <w:r w:rsidR="009E0B65" w:rsidRPr="006D5371">
        <w:t xml:space="preserve">in </w:t>
      </w:r>
      <w:r w:rsidRPr="006D5371">
        <w:t>accord</w:t>
      </w:r>
      <w:r w:rsidR="009E0B65" w:rsidRPr="006D5371">
        <w:t xml:space="preserve">ance with </w:t>
      </w:r>
      <w:r w:rsidRPr="006D5371">
        <w:t>the limits and staging shown on the plans.</w:t>
      </w:r>
    </w:p>
    <w:p w14:paraId="4DD6F6AF" w14:textId="5E29BBC8" w:rsidR="00031ED9" w:rsidRPr="006D5371" w:rsidRDefault="00031ED9" w:rsidP="009F3339">
      <w:pPr>
        <w:widowControl w:val="0"/>
        <w:spacing w:before="120" w:after="120"/>
        <w:ind w:left="360"/>
      </w:pPr>
      <w:r w:rsidRPr="006D5371">
        <w:t>Place timber lagging on the temporary causeways</w:t>
      </w:r>
      <w:r w:rsidR="00CB1778" w:rsidRPr="006D5371">
        <w:t>.</w:t>
      </w:r>
    </w:p>
    <w:p w14:paraId="266A9689" w14:textId="66B016A3" w:rsidR="00242CD3" w:rsidRPr="006D5371" w:rsidRDefault="00242CD3" w:rsidP="009F3339">
      <w:pPr>
        <w:widowControl w:val="0"/>
        <w:spacing w:before="120" w:after="120"/>
        <w:ind w:left="360"/>
      </w:pPr>
      <w:r w:rsidRPr="006D5371">
        <w:t xml:space="preserve">Construct </w:t>
      </w:r>
      <w:proofErr w:type="gramStart"/>
      <w:r w:rsidRPr="006D5371">
        <w:t>the temporary</w:t>
      </w:r>
      <w:proofErr w:type="gramEnd"/>
      <w:r w:rsidRPr="006D5371">
        <w:t xml:space="preserve"> access roads </w:t>
      </w:r>
      <w:r w:rsidR="009E0B65" w:rsidRPr="006D5371">
        <w:t xml:space="preserve">in </w:t>
      </w:r>
      <w:r w:rsidRPr="006D5371">
        <w:t>accord</w:t>
      </w:r>
      <w:r w:rsidR="009E0B65" w:rsidRPr="006D5371">
        <w:t xml:space="preserve">ance with </w:t>
      </w:r>
      <w:r w:rsidRPr="006D5371">
        <w:t>the det</w:t>
      </w:r>
      <w:r w:rsidR="003C3EC5" w:rsidRPr="006D5371">
        <w:t>ails, limits, and staging shown on the plans.</w:t>
      </w:r>
    </w:p>
    <w:p w14:paraId="13E41FEB" w14:textId="35F6B63E" w:rsidR="003C3EC5" w:rsidRPr="006D5371" w:rsidRDefault="003C3EC5" w:rsidP="009F3339">
      <w:pPr>
        <w:widowControl w:val="0"/>
        <w:spacing w:before="120" w:after="120"/>
        <w:ind w:left="360"/>
      </w:pPr>
      <w:r w:rsidRPr="006D5371">
        <w:t xml:space="preserve">Install silt fence around the perimeter of the temporary access roads </w:t>
      </w:r>
      <w:r w:rsidR="009E0B65" w:rsidRPr="006D5371">
        <w:t xml:space="preserve">in </w:t>
      </w:r>
      <w:r w:rsidRPr="006D5371">
        <w:t>accord</w:t>
      </w:r>
      <w:r w:rsidR="009E0B65" w:rsidRPr="006D5371">
        <w:t xml:space="preserve">ance with </w:t>
      </w:r>
      <w:r w:rsidRPr="006D5371">
        <w:t xml:space="preserve">subsection 208.03 of the Standard Specifications for Construction.  Place heavy </w:t>
      </w:r>
      <w:r w:rsidR="005C681B" w:rsidRPr="006D5371">
        <w:t xml:space="preserve">geotextile liner on top of the riprap or embankment prior to placing aggregate.  Place stabilization geotextile, </w:t>
      </w:r>
      <w:r w:rsidR="009E0B65" w:rsidRPr="006D5371">
        <w:t xml:space="preserve">in </w:t>
      </w:r>
      <w:r w:rsidR="005C681B" w:rsidRPr="006D5371">
        <w:t>accord</w:t>
      </w:r>
      <w:r w:rsidR="009E0B65" w:rsidRPr="006D5371">
        <w:t xml:space="preserve">ance with </w:t>
      </w:r>
      <w:r w:rsidR="005C681B" w:rsidRPr="006D5371">
        <w:t xml:space="preserve">section 308 of the Standard Specifications for Construction, on the existing ground prior to placing aggregate.  </w:t>
      </w:r>
      <w:r w:rsidR="009E0B65" w:rsidRPr="006D5371">
        <w:t>Ensure t</w:t>
      </w:r>
      <w:r w:rsidR="005C681B" w:rsidRPr="006D5371">
        <w:t xml:space="preserve">he installed geotextile </w:t>
      </w:r>
      <w:r w:rsidR="009E0B65" w:rsidRPr="006D5371">
        <w:t>is</w:t>
      </w:r>
      <w:r w:rsidR="005C681B" w:rsidRPr="006D5371">
        <w:t xml:space="preserve"> free of wrinkles, tears, or other deficiencies.  Remove and replace damaged geotextile at no cost </w:t>
      </w:r>
      <w:proofErr w:type="gramStart"/>
      <w:r w:rsidR="005C681B" w:rsidRPr="006D5371">
        <w:t>to</w:t>
      </w:r>
      <w:proofErr w:type="gramEnd"/>
      <w:r w:rsidR="005C681B" w:rsidRPr="006D5371">
        <w:t xml:space="preserve"> the </w:t>
      </w:r>
      <w:r w:rsidR="00CF4805" w:rsidRPr="006D5371">
        <w:t>contract</w:t>
      </w:r>
      <w:r w:rsidR="005C681B" w:rsidRPr="006D5371">
        <w:t>.</w:t>
      </w:r>
    </w:p>
    <w:p w14:paraId="74D20E10" w14:textId="7A5DDF9B" w:rsidR="00A31B0D" w:rsidRPr="006D5371" w:rsidRDefault="002A44DA" w:rsidP="009F3339">
      <w:pPr>
        <w:widowControl w:val="0"/>
        <w:spacing w:before="120" w:after="120"/>
        <w:ind w:left="360" w:firstLine="360"/>
      </w:pPr>
      <w:r w:rsidRPr="006D5371">
        <w:t>3.</w:t>
      </w:r>
      <w:r w:rsidRPr="006D5371">
        <w:tab/>
      </w:r>
      <w:r w:rsidR="000248B3" w:rsidRPr="006D5371">
        <w:t>Maintenance.  Maintain the temporary causeway</w:t>
      </w:r>
      <w:r w:rsidR="00CF4805" w:rsidRPr="006D5371">
        <w:t>s</w:t>
      </w:r>
      <w:r w:rsidR="000248B3" w:rsidRPr="006D5371">
        <w:t xml:space="preserve"> and access roads in a safe working condition to the satisfaction of the Engineer.  Water levels are subject to change.  Remove equipment from temporary causeways when water levels are expected to rise.</w:t>
      </w:r>
    </w:p>
    <w:p w14:paraId="0B333263" w14:textId="6D7704AA" w:rsidR="00261B37" w:rsidRPr="006D5371" w:rsidRDefault="002A44DA" w:rsidP="009F3339">
      <w:pPr>
        <w:widowControl w:val="0"/>
        <w:spacing w:before="120" w:after="120"/>
        <w:ind w:left="360" w:firstLine="360"/>
      </w:pPr>
      <w:r w:rsidRPr="006D5371">
        <w:t>4.</w:t>
      </w:r>
      <w:r w:rsidRPr="006D5371">
        <w:tab/>
      </w:r>
      <w:r w:rsidR="00261B37" w:rsidRPr="006D5371">
        <w:t xml:space="preserve">Removal.  Adhere to restrictions in the contract.  </w:t>
      </w:r>
      <w:r w:rsidR="002771F3" w:rsidRPr="006D5371">
        <w:t xml:space="preserve">Temporarily remove the temporary causeway when the water level is expected to rise above the elevation stated in the contract.  </w:t>
      </w:r>
      <w:r w:rsidR="00261B37" w:rsidRPr="006D5371">
        <w:t>Remove all portions of the work when no longer needed.  Do not dispose of any material in the watercourse or floodplain.</w:t>
      </w:r>
    </w:p>
    <w:p w14:paraId="55039B15" w14:textId="541F9055" w:rsidR="00337910" w:rsidRPr="006D5371" w:rsidRDefault="002A44DA" w:rsidP="009F3339">
      <w:pPr>
        <w:widowControl w:val="0"/>
        <w:spacing w:before="120" w:after="120"/>
        <w:ind w:left="360" w:firstLine="360"/>
      </w:pPr>
      <w:r w:rsidRPr="006D5371">
        <w:t>5.</w:t>
      </w:r>
      <w:r w:rsidRPr="006D5371">
        <w:tab/>
      </w:r>
      <w:r w:rsidR="00337910" w:rsidRPr="006D5371">
        <w:t>Restoration.  Restore the areas disturbed by the construction, maintenance</w:t>
      </w:r>
      <w:r w:rsidR="0082503F" w:rsidRPr="006D5371">
        <w:t>,</w:t>
      </w:r>
      <w:r w:rsidR="00337910" w:rsidRPr="006D5371">
        <w:t xml:space="preserve"> and removal of the temporary causeways and temporary access roads to the original preconstruction condition.</w:t>
      </w:r>
    </w:p>
    <w:p w14:paraId="5A1152C9" w14:textId="697E4A96" w:rsidR="00864A85" w:rsidRPr="006D5371" w:rsidRDefault="0042535B" w:rsidP="009F3339">
      <w:pPr>
        <w:widowControl w:val="0"/>
        <w:spacing w:before="120" w:after="120"/>
        <w:ind w:firstLine="360"/>
      </w:pPr>
      <w:r w:rsidRPr="006D5371">
        <w:rPr>
          <w:b/>
        </w:rPr>
        <w:t>d.</w:t>
      </w:r>
      <w:r w:rsidR="00864A85" w:rsidRPr="006D5371">
        <w:rPr>
          <w:b/>
        </w:rPr>
        <w:tab/>
        <w:t>Measurement and Payment.</w:t>
      </w:r>
      <w:r w:rsidR="00864A85" w:rsidRPr="006D5371">
        <w:t xml:space="preserve">  </w:t>
      </w:r>
      <w:r w:rsidR="00493444" w:rsidRPr="006D5371">
        <w:t>The completed work, as described, will be measured</w:t>
      </w:r>
      <w:r w:rsidR="008C4DF0" w:rsidRPr="006D5371">
        <w:t xml:space="preserve"> </w:t>
      </w:r>
      <w:r w:rsidR="00493444" w:rsidRPr="006D5371">
        <w:t xml:space="preserve">and paid for at the contract </w:t>
      </w:r>
      <w:r w:rsidR="008C4DF0" w:rsidRPr="006D5371">
        <w:t xml:space="preserve">unit </w:t>
      </w:r>
      <w:r w:rsidR="00493444" w:rsidRPr="006D5371">
        <w:t>price using the following pay items:</w:t>
      </w:r>
    </w:p>
    <w:p w14:paraId="0AF3B5A1" w14:textId="77777777" w:rsidR="00820550" w:rsidRPr="006D5371" w:rsidRDefault="005C1F05" w:rsidP="009F3339">
      <w:pPr>
        <w:widowControl w:val="0"/>
        <w:tabs>
          <w:tab w:val="right" w:pos="9360"/>
        </w:tabs>
        <w:spacing w:before="120" w:after="120"/>
        <w:ind w:left="720"/>
      </w:pPr>
      <w:r w:rsidRPr="006D5371">
        <w:rPr>
          <w:b/>
        </w:rPr>
        <w:t>Pay Item</w:t>
      </w:r>
      <w:r w:rsidR="00820550" w:rsidRPr="006D5371">
        <w:rPr>
          <w:b/>
        </w:rPr>
        <w:tab/>
        <w:t>Pay Unit</w:t>
      </w:r>
    </w:p>
    <w:p w14:paraId="7AA59FA5" w14:textId="2D005833" w:rsidR="00B0769B" w:rsidRPr="006D5371" w:rsidRDefault="00E80318" w:rsidP="009F3339">
      <w:pPr>
        <w:widowControl w:val="0"/>
        <w:tabs>
          <w:tab w:val="right" w:leader="dot" w:pos="9360"/>
        </w:tabs>
        <w:spacing w:before="120"/>
        <w:ind w:left="720"/>
      </w:pPr>
      <w:r w:rsidRPr="006D5371">
        <w:t>Temp</w:t>
      </w:r>
      <w:r w:rsidR="001D56CE" w:rsidRPr="006D5371">
        <w:t xml:space="preserve"> Causeways and Access Roads</w:t>
      </w:r>
      <w:r w:rsidR="00B0769B" w:rsidRPr="006D5371">
        <w:t xml:space="preserve"> (</w:t>
      </w:r>
      <w:r w:rsidR="005A7BAD" w:rsidRPr="006D5371">
        <w:t>Structure Identification</w:t>
      </w:r>
      <w:r w:rsidR="00B0769B" w:rsidRPr="006D5371">
        <w:t>)</w:t>
      </w:r>
      <w:r w:rsidR="009B1279" w:rsidRPr="006D5371">
        <w:tab/>
        <w:t>Lump Sum</w:t>
      </w:r>
    </w:p>
    <w:p w14:paraId="5E48128B" w14:textId="01447219" w:rsidR="00B61432" w:rsidRPr="006D5371" w:rsidRDefault="00B61432" w:rsidP="009F3339">
      <w:pPr>
        <w:widowControl w:val="0"/>
        <w:tabs>
          <w:tab w:val="right" w:leader="dot" w:pos="9360"/>
        </w:tabs>
        <w:spacing w:after="120"/>
        <w:ind w:left="720"/>
      </w:pPr>
      <w:r w:rsidRPr="006D5371">
        <w:lastRenderedPageBreak/>
        <w:t>Temp Causeway Emergency Rem</w:t>
      </w:r>
      <w:r w:rsidRPr="006D5371">
        <w:tab/>
        <w:t>Each</w:t>
      </w:r>
    </w:p>
    <w:p w14:paraId="17E32494" w14:textId="66AE481C" w:rsidR="00C44ACA" w:rsidRPr="006D5371" w:rsidRDefault="0039629E" w:rsidP="009F3339">
      <w:pPr>
        <w:widowControl w:val="0"/>
        <w:spacing w:before="120" w:after="120"/>
        <w:ind w:left="360" w:firstLine="360"/>
      </w:pPr>
      <w:r w:rsidRPr="006D5371">
        <w:t>1.</w:t>
      </w:r>
      <w:r w:rsidRPr="006D5371">
        <w:tab/>
      </w:r>
      <w:r w:rsidR="001D56CE" w:rsidRPr="006D5371">
        <w:t xml:space="preserve">The Engineer will group and measure temporary causeways and temporary access roads for the structure as a unit. </w:t>
      </w:r>
      <w:r w:rsidR="009C2BF4" w:rsidRPr="006D5371">
        <w:t xml:space="preserve"> </w:t>
      </w:r>
      <w:r w:rsidR="001D56CE" w:rsidRPr="006D5371">
        <w:rPr>
          <w:b/>
          <w:bCs/>
        </w:rPr>
        <w:t>Temp Causeways and Access Roads (</w:t>
      </w:r>
      <w:r w:rsidR="001141E6" w:rsidRPr="006D5371">
        <w:rPr>
          <w:b/>
          <w:bCs/>
        </w:rPr>
        <w:t>Structure Identification</w:t>
      </w:r>
      <w:r w:rsidR="001D56CE" w:rsidRPr="006D5371">
        <w:rPr>
          <w:b/>
          <w:bCs/>
        </w:rPr>
        <w:t>)</w:t>
      </w:r>
      <w:r w:rsidR="00703D0A" w:rsidRPr="006D5371">
        <w:rPr>
          <w:b/>
        </w:rPr>
        <w:t xml:space="preserve"> </w:t>
      </w:r>
      <w:proofErr w:type="gramStart"/>
      <w:r w:rsidR="00A66749" w:rsidRPr="006D5371">
        <w:t>includes</w:t>
      </w:r>
      <w:proofErr w:type="gramEnd"/>
      <w:r w:rsidR="00A66749" w:rsidRPr="006D5371">
        <w:t xml:space="preserve"> </w:t>
      </w:r>
      <w:r w:rsidR="009C2BF4" w:rsidRPr="006D5371">
        <w:t>furnishing</w:t>
      </w:r>
      <w:r w:rsidR="001D56CE" w:rsidRPr="006D5371">
        <w:t xml:space="preserve">, installing, maintaining, </w:t>
      </w:r>
      <w:r w:rsidR="0082503F" w:rsidRPr="006D5371">
        <w:t xml:space="preserve">intermittent removal and installation as required for the project, </w:t>
      </w:r>
      <w:r w:rsidR="001D56CE" w:rsidRPr="006D5371">
        <w:t>final removal of all materials, and restoration.</w:t>
      </w:r>
    </w:p>
    <w:p w14:paraId="20708EDF" w14:textId="0A2AAED7" w:rsidR="001219B3" w:rsidRPr="006D5371" w:rsidRDefault="007958A4" w:rsidP="009F3339">
      <w:pPr>
        <w:widowControl w:val="0"/>
        <w:spacing w:before="120" w:after="120"/>
        <w:ind w:left="360"/>
      </w:pPr>
      <w:r w:rsidRPr="006D5371">
        <w:t xml:space="preserve">Any barges or personnel transport to enable workers and inspectors to access work areas safely are also included in the pay item </w:t>
      </w:r>
      <w:r w:rsidRPr="006D5371">
        <w:rPr>
          <w:b/>
          <w:bCs/>
        </w:rPr>
        <w:t>Temp Causeways and Access Roads (Structure Identification)</w:t>
      </w:r>
      <w:r w:rsidRPr="006D5371">
        <w:t>.</w:t>
      </w:r>
    </w:p>
    <w:p w14:paraId="59492A75" w14:textId="3F1AAB00" w:rsidR="001D56CE" w:rsidRPr="006D5371" w:rsidRDefault="001D56CE" w:rsidP="009F3339">
      <w:pPr>
        <w:widowControl w:val="0"/>
        <w:spacing w:before="120" w:after="120"/>
        <w:ind w:left="360"/>
        <w:rPr>
          <w:bCs/>
        </w:rPr>
      </w:pPr>
      <w:r w:rsidRPr="006D5371">
        <w:t>Excavation necessary to construct the temporary causeways and temporary access roads is included in the pay item</w:t>
      </w:r>
      <w:r w:rsidR="0082503F" w:rsidRPr="006D5371">
        <w:t xml:space="preserve"> </w:t>
      </w:r>
      <w:r w:rsidRPr="006D5371">
        <w:rPr>
          <w:b/>
          <w:bCs/>
        </w:rPr>
        <w:t>Temp Causeways and Access Roads (</w:t>
      </w:r>
      <w:r w:rsidR="001141E6" w:rsidRPr="006D5371">
        <w:rPr>
          <w:b/>
          <w:bCs/>
        </w:rPr>
        <w:t>Structure Identification</w:t>
      </w:r>
      <w:r w:rsidRPr="006D5371">
        <w:rPr>
          <w:b/>
          <w:bCs/>
        </w:rPr>
        <w:t>)</w:t>
      </w:r>
      <w:r w:rsidRPr="006D5371">
        <w:rPr>
          <w:bCs/>
        </w:rPr>
        <w:t>.</w:t>
      </w:r>
    </w:p>
    <w:p w14:paraId="1F5843AD" w14:textId="670B9ABA" w:rsidR="002771F3" w:rsidRPr="006D5371" w:rsidRDefault="0039629E" w:rsidP="009F3339">
      <w:pPr>
        <w:widowControl w:val="0"/>
        <w:spacing w:before="120" w:after="120"/>
        <w:ind w:left="360" w:firstLine="360"/>
      </w:pPr>
      <w:r w:rsidRPr="006D5371">
        <w:t>2.</w:t>
      </w:r>
      <w:r w:rsidRPr="006D5371">
        <w:rPr>
          <w:b/>
          <w:bCs/>
        </w:rPr>
        <w:tab/>
      </w:r>
      <w:r w:rsidR="002771F3" w:rsidRPr="006D5371">
        <w:rPr>
          <w:b/>
          <w:bCs/>
        </w:rPr>
        <w:t>Temp Causeway Emergency</w:t>
      </w:r>
      <w:r w:rsidR="002771F3" w:rsidRPr="006D5371">
        <w:t xml:space="preserve"> </w:t>
      </w:r>
      <w:r w:rsidR="002771F3" w:rsidRPr="006D5371">
        <w:rPr>
          <w:b/>
          <w:bCs/>
        </w:rPr>
        <w:t>Rem</w:t>
      </w:r>
      <w:r w:rsidR="00996271" w:rsidRPr="006D5371">
        <w:t xml:space="preserve"> includes temporarily removing the temporary causeway, stockpiling the causeway material, and reconstructing the temporary causeway.</w:t>
      </w:r>
    </w:p>
    <w:p w14:paraId="31F03CE9" w14:textId="3B001FED" w:rsidR="001F08E0" w:rsidRPr="006D5371" w:rsidRDefault="00BD5275" w:rsidP="009F3339">
      <w:pPr>
        <w:widowControl w:val="0"/>
        <w:spacing w:before="120"/>
      </w:pPr>
      <w:r w:rsidRPr="006D5371">
        <w:t>C</w:t>
      </w:r>
      <w:r w:rsidR="009B7802" w:rsidRPr="006D5371">
        <w:t>offerdams,</w:t>
      </w:r>
      <w:r w:rsidR="004A24FF" w:rsidRPr="006D5371">
        <w:t xml:space="preserve"> c</w:t>
      </w:r>
      <w:r w:rsidR="001F08E0" w:rsidRPr="006D5371">
        <w:t>learing, tree removal</w:t>
      </w:r>
      <w:r w:rsidR="00384BDA" w:rsidRPr="006D5371">
        <w:t xml:space="preserve">, </w:t>
      </w:r>
      <w:r w:rsidR="001F08E0" w:rsidRPr="006D5371">
        <w:t>and tree replacements will be paid for separately</w:t>
      </w:r>
      <w:r w:rsidR="00E86434" w:rsidRPr="006D5371">
        <w:t xml:space="preserve"> </w:t>
      </w:r>
      <w:r w:rsidR="009C2BF4" w:rsidRPr="006D5371">
        <w:t xml:space="preserve">in </w:t>
      </w:r>
      <w:r w:rsidR="00E86434" w:rsidRPr="006D5371">
        <w:t>accord</w:t>
      </w:r>
      <w:r w:rsidR="009C2BF4" w:rsidRPr="006D5371">
        <w:t xml:space="preserve">ance with </w:t>
      </w:r>
      <w:r w:rsidR="00E86434" w:rsidRPr="006D5371">
        <w:t>the contract</w:t>
      </w:r>
      <w:r w:rsidR="001F08E0" w:rsidRPr="006D5371">
        <w:t>.</w:t>
      </w:r>
    </w:p>
    <w:sectPr w:rsidR="001F08E0" w:rsidRPr="006D5371" w:rsidSect="008A194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C6DB" w14:textId="77777777" w:rsidR="00DC44C2" w:rsidRDefault="00DC44C2">
      <w:r>
        <w:separator/>
      </w:r>
    </w:p>
  </w:endnote>
  <w:endnote w:type="continuationSeparator" w:id="0">
    <w:p w14:paraId="22C1DB4C" w14:textId="77777777" w:rsidR="00DC44C2" w:rsidRDefault="00DC44C2">
      <w:r>
        <w:continuationSeparator/>
      </w:r>
    </w:p>
  </w:endnote>
  <w:endnote w:type="continuationNotice" w:id="1">
    <w:p w14:paraId="54356AA1" w14:textId="77777777" w:rsidR="00DC44C2" w:rsidRDefault="00DC4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E04" w14:textId="77777777" w:rsidR="00DC44C2" w:rsidRDefault="00DC44C2">
      <w:r>
        <w:separator/>
      </w:r>
    </w:p>
  </w:footnote>
  <w:footnote w:type="continuationSeparator" w:id="0">
    <w:p w14:paraId="7CEED315" w14:textId="77777777" w:rsidR="00DC44C2" w:rsidRDefault="00DC44C2">
      <w:r>
        <w:continuationSeparator/>
      </w:r>
    </w:p>
  </w:footnote>
  <w:footnote w:type="continuationNotice" w:id="1">
    <w:p w14:paraId="2B1DC133" w14:textId="77777777" w:rsidR="00DC44C2" w:rsidRDefault="00DC4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EB01" w14:textId="5B3AB0D1" w:rsidR="00333195" w:rsidRPr="00924D6F" w:rsidRDefault="003B0D15" w:rsidP="005B09EB">
    <w:pPr>
      <w:widowControl w:val="0"/>
      <w:jc w:val="right"/>
      <w:rPr>
        <w:sz w:val="24"/>
        <w:szCs w:val="24"/>
      </w:rPr>
    </w:pPr>
    <w:r w:rsidRPr="00924D6F">
      <w:rPr>
        <w:sz w:val="24"/>
        <w:szCs w:val="24"/>
      </w:rPr>
      <w:t>2</w:t>
    </w:r>
    <w:r w:rsidR="009C1B17">
      <w:rPr>
        <w:sz w:val="24"/>
        <w:szCs w:val="24"/>
      </w:rPr>
      <w:t>0</w:t>
    </w:r>
    <w:r w:rsidR="00E55D3D">
      <w:rPr>
        <w:sz w:val="24"/>
        <w:szCs w:val="24"/>
      </w:rPr>
      <w:t>BR</w:t>
    </w:r>
    <w:r w:rsidRPr="00924D6F">
      <w:rPr>
        <w:sz w:val="24"/>
        <w:szCs w:val="24"/>
      </w:rPr>
      <w:t>800</w:t>
    </w:r>
    <w:r w:rsidR="00333195" w:rsidRPr="00924D6F">
      <w:rPr>
        <w:sz w:val="24"/>
        <w:szCs w:val="24"/>
      </w:rPr>
      <w:t>(</w:t>
    </w:r>
    <w:r w:rsidR="00490580">
      <w:rPr>
        <w:sz w:val="24"/>
        <w:szCs w:val="24"/>
      </w:rPr>
      <w:t>A720</w:t>
    </w:r>
    <w:r w:rsidR="00333195" w:rsidRPr="00924D6F">
      <w:rPr>
        <w:sz w:val="24"/>
        <w:szCs w:val="24"/>
      </w:rPr>
      <w:t>)</w:t>
    </w:r>
  </w:p>
  <w:p w14:paraId="57114294" w14:textId="45FD3B2D" w:rsidR="00333195" w:rsidRPr="00924D6F" w:rsidRDefault="00E55D3D" w:rsidP="006D5371">
    <w:pPr>
      <w:widowControl w:val="0"/>
      <w:tabs>
        <w:tab w:val="center" w:pos="4680"/>
        <w:tab w:val="right" w:pos="9360"/>
      </w:tabs>
      <w:rPr>
        <w:sz w:val="24"/>
        <w:szCs w:val="24"/>
      </w:rPr>
    </w:pPr>
    <w:proofErr w:type="gramStart"/>
    <w:r>
      <w:rPr>
        <w:sz w:val="24"/>
        <w:szCs w:val="24"/>
      </w:rPr>
      <w:t>BRG</w:t>
    </w:r>
    <w:r w:rsidR="00341A48" w:rsidRPr="00924D6F">
      <w:rPr>
        <w:sz w:val="24"/>
        <w:szCs w:val="24"/>
      </w:rPr>
      <w:t>:</w:t>
    </w:r>
    <w:r w:rsidR="00384BDA">
      <w:rPr>
        <w:sz w:val="24"/>
        <w:szCs w:val="24"/>
      </w:rPr>
      <w:t>A</w:t>
    </w:r>
    <w:r w:rsidR="00687E50">
      <w:rPr>
        <w:sz w:val="24"/>
        <w:szCs w:val="24"/>
      </w:rPr>
      <w:t>J</w:t>
    </w:r>
    <w:r w:rsidR="00384BDA">
      <w:rPr>
        <w:sz w:val="24"/>
        <w:szCs w:val="24"/>
      </w:rPr>
      <w:t>M</w:t>
    </w:r>
    <w:proofErr w:type="gramEnd"/>
    <w:r w:rsidR="00333195" w:rsidRPr="00924D6F">
      <w:rPr>
        <w:sz w:val="24"/>
        <w:szCs w:val="24"/>
      </w:rPr>
      <w:tab/>
    </w:r>
    <w:r w:rsidR="00333195" w:rsidRPr="00924D6F">
      <w:rPr>
        <w:rStyle w:val="PageNumber"/>
        <w:sz w:val="24"/>
        <w:szCs w:val="24"/>
      </w:rPr>
      <w:fldChar w:fldCharType="begin"/>
    </w:r>
    <w:r w:rsidR="00333195" w:rsidRPr="00E937F6">
      <w:rPr>
        <w:rStyle w:val="PageNumber"/>
        <w:sz w:val="24"/>
        <w:szCs w:val="24"/>
      </w:rPr>
      <w:instrText xml:space="preserve"> PAGE </w:instrText>
    </w:r>
    <w:r w:rsidR="00333195" w:rsidRPr="00924D6F">
      <w:rPr>
        <w:rStyle w:val="PageNumber"/>
        <w:sz w:val="24"/>
        <w:szCs w:val="24"/>
      </w:rPr>
      <w:fldChar w:fldCharType="separate"/>
    </w:r>
    <w:r w:rsidR="000E2454">
      <w:rPr>
        <w:rStyle w:val="PageNumber"/>
        <w:noProof/>
        <w:sz w:val="24"/>
        <w:szCs w:val="24"/>
      </w:rPr>
      <w:t>2</w:t>
    </w:r>
    <w:r w:rsidR="00333195" w:rsidRPr="00924D6F">
      <w:rPr>
        <w:rStyle w:val="PageNumber"/>
        <w:sz w:val="24"/>
        <w:szCs w:val="24"/>
      </w:rPr>
      <w:fldChar w:fldCharType="end"/>
    </w:r>
    <w:r w:rsidR="00333195" w:rsidRPr="00E937F6">
      <w:rPr>
        <w:rStyle w:val="PageNumber"/>
        <w:sz w:val="24"/>
        <w:szCs w:val="24"/>
      </w:rPr>
      <w:t xml:space="preserve"> of </w:t>
    </w:r>
    <w:r w:rsidR="00333195" w:rsidRPr="00924D6F">
      <w:rPr>
        <w:rStyle w:val="PageNumber"/>
        <w:sz w:val="24"/>
        <w:szCs w:val="24"/>
      </w:rPr>
      <w:fldChar w:fldCharType="begin"/>
    </w:r>
    <w:r w:rsidR="00333195" w:rsidRPr="00E937F6">
      <w:rPr>
        <w:rStyle w:val="PageNumber"/>
        <w:sz w:val="24"/>
        <w:szCs w:val="24"/>
      </w:rPr>
      <w:instrText xml:space="preserve"> NUMPAGES </w:instrText>
    </w:r>
    <w:r w:rsidR="00333195" w:rsidRPr="00924D6F">
      <w:rPr>
        <w:rStyle w:val="PageNumber"/>
        <w:sz w:val="24"/>
        <w:szCs w:val="24"/>
      </w:rPr>
      <w:fldChar w:fldCharType="separate"/>
    </w:r>
    <w:r w:rsidR="000E2454">
      <w:rPr>
        <w:rStyle w:val="PageNumber"/>
        <w:noProof/>
        <w:sz w:val="24"/>
        <w:szCs w:val="24"/>
      </w:rPr>
      <w:t>2</w:t>
    </w:r>
    <w:r w:rsidR="00333195" w:rsidRPr="00924D6F">
      <w:rPr>
        <w:rStyle w:val="PageNumber"/>
        <w:sz w:val="24"/>
        <w:szCs w:val="24"/>
      </w:rPr>
      <w:fldChar w:fldCharType="end"/>
    </w:r>
    <w:r w:rsidR="00333195" w:rsidRPr="00E937F6">
      <w:rPr>
        <w:rStyle w:val="PageNumber"/>
        <w:sz w:val="24"/>
        <w:szCs w:val="24"/>
      </w:rPr>
      <w:tab/>
    </w:r>
    <w:r w:rsidR="0039629E">
      <w:rPr>
        <w:rStyle w:val="PageNumber"/>
        <w:sz w:val="24"/>
        <w:szCs w:val="24"/>
      </w:rPr>
      <w:t>07-20-22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AE79" w14:textId="4FA07F26" w:rsidR="00C60C05" w:rsidRPr="00924D6F" w:rsidRDefault="00333195" w:rsidP="003E7368">
    <w:pPr>
      <w:widowControl w:val="0"/>
      <w:jc w:val="right"/>
      <w:rPr>
        <w:sz w:val="24"/>
      </w:rPr>
    </w:pPr>
    <w:r w:rsidRPr="00924D6F">
      <w:rPr>
        <w:sz w:val="24"/>
      </w:rPr>
      <w:t>2</w:t>
    </w:r>
    <w:r w:rsidR="004A7E3F">
      <w:rPr>
        <w:sz w:val="24"/>
      </w:rPr>
      <w:t>0</w:t>
    </w:r>
    <w:r w:rsidR="00E55D3D">
      <w:rPr>
        <w:sz w:val="24"/>
      </w:rPr>
      <w:t>BR</w:t>
    </w:r>
    <w:r w:rsidRPr="00924D6F">
      <w:rPr>
        <w:sz w:val="24"/>
      </w:rPr>
      <w:t>8</w:t>
    </w:r>
    <w:r w:rsidR="003B0D15" w:rsidRPr="00924D6F">
      <w:rPr>
        <w:sz w:val="24"/>
      </w:rPr>
      <w:t>0</w:t>
    </w:r>
    <w:r w:rsidRPr="00924D6F">
      <w:rPr>
        <w:sz w:val="24"/>
      </w:rPr>
      <w:t>0</w:t>
    </w:r>
    <w:r w:rsidR="00981082">
      <w:rPr>
        <w:sz w:val="24"/>
      </w:rPr>
      <w:t>(</w:t>
    </w:r>
    <w:r w:rsidR="00490580">
      <w:rPr>
        <w:sz w:val="24"/>
      </w:rPr>
      <w:t>A720</w:t>
    </w:r>
    <w:r w:rsidR="00981082">
      <w:rPr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670E"/>
    <w:multiLevelType w:val="hybridMultilevel"/>
    <w:tmpl w:val="2FFA115C"/>
    <w:lvl w:ilvl="0" w:tplc="51D619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5C9"/>
    <w:multiLevelType w:val="hybridMultilevel"/>
    <w:tmpl w:val="EAD699EA"/>
    <w:lvl w:ilvl="0" w:tplc="201E8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7C2543"/>
    <w:multiLevelType w:val="hybridMultilevel"/>
    <w:tmpl w:val="C448B502"/>
    <w:lvl w:ilvl="0" w:tplc="23C6AC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63A3"/>
    <w:multiLevelType w:val="hybridMultilevel"/>
    <w:tmpl w:val="85326376"/>
    <w:lvl w:ilvl="0" w:tplc="F6629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61DB9"/>
    <w:multiLevelType w:val="hybridMultilevel"/>
    <w:tmpl w:val="630C4388"/>
    <w:lvl w:ilvl="0" w:tplc="19145F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1561936">
    <w:abstractNumId w:val="2"/>
  </w:num>
  <w:num w:numId="2" w16cid:durableId="7293305">
    <w:abstractNumId w:val="1"/>
  </w:num>
  <w:num w:numId="3" w16cid:durableId="1964263459">
    <w:abstractNumId w:val="3"/>
  </w:num>
  <w:num w:numId="4" w16cid:durableId="1084718482">
    <w:abstractNumId w:val="4"/>
  </w:num>
  <w:num w:numId="5" w16cid:durableId="40036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85"/>
    <w:rsid w:val="00005C2E"/>
    <w:rsid w:val="00011934"/>
    <w:rsid w:val="00014345"/>
    <w:rsid w:val="00015C2B"/>
    <w:rsid w:val="000175A0"/>
    <w:rsid w:val="000248B3"/>
    <w:rsid w:val="00031ED9"/>
    <w:rsid w:val="00032AE3"/>
    <w:rsid w:val="00033A20"/>
    <w:rsid w:val="0004311E"/>
    <w:rsid w:val="0004673E"/>
    <w:rsid w:val="00052111"/>
    <w:rsid w:val="00062B9B"/>
    <w:rsid w:val="000635E9"/>
    <w:rsid w:val="00064DF7"/>
    <w:rsid w:val="00066417"/>
    <w:rsid w:val="000765DF"/>
    <w:rsid w:val="0008301F"/>
    <w:rsid w:val="000860B8"/>
    <w:rsid w:val="00087A44"/>
    <w:rsid w:val="0009607C"/>
    <w:rsid w:val="00096162"/>
    <w:rsid w:val="000A0860"/>
    <w:rsid w:val="000A2445"/>
    <w:rsid w:val="000B1E4D"/>
    <w:rsid w:val="000B6C56"/>
    <w:rsid w:val="000C5EC4"/>
    <w:rsid w:val="000D15D6"/>
    <w:rsid w:val="000D588A"/>
    <w:rsid w:val="000D6AFA"/>
    <w:rsid w:val="000E121D"/>
    <w:rsid w:val="000E21EC"/>
    <w:rsid w:val="000E2454"/>
    <w:rsid w:val="000E6D1A"/>
    <w:rsid w:val="000F06C4"/>
    <w:rsid w:val="000F1B9E"/>
    <w:rsid w:val="000F200E"/>
    <w:rsid w:val="000F6458"/>
    <w:rsid w:val="000F7777"/>
    <w:rsid w:val="001122FD"/>
    <w:rsid w:val="001141E6"/>
    <w:rsid w:val="001162A0"/>
    <w:rsid w:val="001219B3"/>
    <w:rsid w:val="00134D40"/>
    <w:rsid w:val="001356D5"/>
    <w:rsid w:val="001366A9"/>
    <w:rsid w:val="00137C75"/>
    <w:rsid w:val="00154754"/>
    <w:rsid w:val="00155EA0"/>
    <w:rsid w:val="00163273"/>
    <w:rsid w:val="00163AA9"/>
    <w:rsid w:val="00163BC4"/>
    <w:rsid w:val="00163FAD"/>
    <w:rsid w:val="00167415"/>
    <w:rsid w:val="00167597"/>
    <w:rsid w:val="0017078C"/>
    <w:rsid w:val="001724B0"/>
    <w:rsid w:val="001747C6"/>
    <w:rsid w:val="001824E8"/>
    <w:rsid w:val="0018612C"/>
    <w:rsid w:val="00197C2A"/>
    <w:rsid w:val="001A0B4A"/>
    <w:rsid w:val="001A0C1C"/>
    <w:rsid w:val="001A67D5"/>
    <w:rsid w:val="001A71FF"/>
    <w:rsid w:val="001C30BF"/>
    <w:rsid w:val="001C3361"/>
    <w:rsid w:val="001D56CE"/>
    <w:rsid w:val="001D5C5C"/>
    <w:rsid w:val="001D7DB9"/>
    <w:rsid w:val="001E1AF8"/>
    <w:rsid w:val="001E610C"/>
    <w:rsid w:val="001F0135"/>
    <w:rsid w:val="001F07F7"/>
    <w:rsid w:val="001F08E0"/>
    <w:rsid w:val="001F4FCE"/>
    <w:rsid w:val="00200366"/>
    <w:rsid w:val="002007D0"/>
    <w:rsid w:val="0020199A"/>
    <w:rsid w:val="00204410"/>
    <w:rsid w:val="0020642C"/>
    <w:rsid w:val="002073B2"/>
    <w:rsid w:val="002145C7"/>
    <w:rsid w:val="00221AEA"/>
    <w:rsid w:val="00223D2D"/>
    <w:rsid w:val="00226CCA"/>
    <w:rsid w:val="0023092E"/>
    <w:rsid w:val="00231275"/>
    <w:rsid w:val="00233566"/>
    <w:rsid w:val="00233F22"/>
    <w:rsid w:val="002409D3"/>
    <w:rsid w:val="00242CD3"/>
    <w:rsid w:val="0024590A"/>
    <w:rsid w:val="00254A06"/>
    <w:rsid w:val="00255596"/>
    <w:rsid w:val="002568E1"/>
    <w:rsid w:val="00261B37"/>
    <w:rsid w:val="002666AA"/>
    <w:rsid w:val="002771F3"/>
    <w:rsid w:val="00280428"/>
    <w:rsid w:val="00282F85"/>
    <w:rsid w:val="002857CB"/>
    <w:rsid w:val="0028629F"/>
    <w:rsid w:val="00296E06"/>
    <w:rsid w:val="00297A46"/>
    <w:rsid w:val="002A44DA"/>
    <w:rsid w:val="002B30B5"/>
    <w:rsid w:val="002B3FB0"/>
    <w:rsid w:val="002B7415"/>
    <w:rsid w:val="002C0B77"/>
    <w:rsid w:val="002C1498"/>
    <w:rsid w:val="002C249D"/>
    <w:rsid w:val="002C3274"/>
    <w:rsid w:val="002E02E5"/>
    <w:rsid w:val="002E1DEF"/>
    <w:rsid w:val="002E32D7"/>
    <w:rsid w:val="002E6314"/>
    <w:rsid w:val="002F1875"/>
    <w:rsid w:val="002F485E"/>
    <w:rsid w:val="002F5240"/>
    <w:rsid w:val="002F7E2A"/>
    <w:rsid w:val="0030172A"/>
    <w:rsid w:val="00301B7D"/>
    <w:rsid w:val="00306821"/>
    <w:rsid w:val="0030713F"/>
    <w:rsid w:val="00310D41"/>
    <w:rsid w:val="00312DA5"/>
    <w:rsid w:val="00325D19"/>
    <w:rsid w:val="003273DB"/>
    <w:rsid w:val="00333195"/>
    <w:rsid w:val="00333CFF"/>
    <w:rsid w:val="0033568E"/>
    <w:rsid w:val="00337910"/>
    <w:rsid w:val="00337A26"/>
    <w:rsid w:val="00341A48"/>
    <w:rsid w:val="00344E7D"/>
    <w:rsid w:val="0034782A"/>
    <w:rsid w:val="00350293"/>
    <w:rsid w:val="00351B9E"/>
    <w:rsid w:val="00354CCF"/>
    <w:rsid w:val="00357319"/>
    <w:rsid w:val="00363581"/>
    <w:rsid w:val="0036427B"/>
    <w:rsid w:val="00374FA1"/>
    <w:rsid w:val="00384BDA"/>
    <w:rsid w:val="00385838"/>
    <w:rsid w:val="0038596C"/>
    <w:rsid w:val="003866B4"/>
    <w:rsid w:val="0039089D"/>
    <w:rsid w:val="00390AAA"/>
    <w:rsid w:val="00391711"/>
    <w:rsid w:val="003957C9"/>
    <w:rsid w:val="0039629E"/>
    <w:rsid w:val="003966BF"/>
    <w:rsid w:val="003A24D3"/>
    <w:rsid w:val="003A6CF4"/>
    <w:rsid w:val="003B0D15"/>
    <w:rsid w:val="003B5CA9"/>
    <w:rsid w:val="003B6DDA"/>
    <w:rsid w:val="003C004B"/>
    <w:rsid w:val="003C3EC5"/>
    <w:rsid w:val="003C7483"/>
    <w:rsid w:val="003C7D94"/>
    <w:rsid w:val="003D563B"/>
    <w:rsid w:val="003D59B7"/>
    <w:rsid w:val="003E276E"/>
    <w:rsid w:val="003E3176"/>
    <w:rsid w:val="003E3BC3"/>
    <w:rsid w:val="003E5822"/>
    <w:rsid w:val="003E6101"/>
    <w:rsid w:val="003E7368"/>
    <w:rsid w:val="003F3239"/>
    <w:rsid w:val="003F6E2E"/>
    <w:rsid w:val="003F75EA"/>
    <w:rsid w:val="00406517"/>
    <w:rsid w:val="004067F2"/>
    <w:rsid w:val="004077F5"/>
    <w:rsid w:val="00407D6C"/>
    <w:rsid w:val="004113AA"/>
    <w:rsid w:val="00411633"/>
    <w:rsid w:val="00414383"/>
    <w:rsid w:val="00414EE7"/>
    <w:rsid w:val="004226BD"/>
    <w:rsid w:val="00425017"/>
    <w:rsid w:val="0042535B"/>
    <w:rsid w:val="00425C5D"/>
    <w:rsid w:val="00432E29"/>
    <w:rsid w:val="00434928"/>
    <w:rsid w:val="00436342"/>
    <w:rsid w:val="00442B57"/>
    <w:rsid w:val="00452D64"/>
    <w:rsid w:val="004537C9"/>
    <w:rsid w:val="0045679E"/>
    <w:rsid w:val="004572FA"/>
    <w:rsid w:val="00463ECC"/>
    <w:rsid w:val="00476261"/>
    <w:rsid w:val="00476D27"/>
    <w:rsid w:val="00476D97"/>
    <w:rsid w:val="00480219"/>
    <w:rsid w:val="0048571B"/>
    <w:rsid w:val="00487566"/>
    <w:rsid w:val="00490580"/>
    <w:rsid w:val="00491376"/>
    <w:rsid w:val="00493444"/>
    <w:rsid w:val="004A0D34"/>
    <w:rsid w:val="004A24FF"/>
    <w:rsid w:val="004A338B"/>
    <w:rsid w:val="004A34CC"/>
    <w:rsid w:val="004A7E3F"/>
    <w:rsid w:val="004B19BD"/>
    <w:rsid w:val="004C0E53"/>
    <w:rsid w:val="004C10F5"/>
    <w:rsid w:val="004C2207"/>
    <w:rsid w:val="004C2720"/>
    <w:rsid w:val="004C484A"/>
    <w:rsid w:val="004D2A12"/>
    <w:rsid w:val="004D422C"/>
    <w:rsid w:val="004D46D0"/>
    <w:rsid w:val="004F137F"/>
    <w:rsid w:val="004F23B3"/>
    <w:rsid w:val="004F3168"/>
    <w:rsid w:val="004F5963"/>
    <w:rsid w:val="004F5F7B"/>
    <w:rsid w:val="005000F2"/>
    <w:rsid w:val="00500D32"/>
    <w:rsid w:val="0050244E"/>
    <w:rsid w:val="00510AB4"/>
    <w:rsid w:val="00513246"/>
    <w:rsid w:val="005145B9"/>
    <w:rsid w:val="00515A45"/>
    <w:rsid w:val="00520447"/>
    <w:rsid w:val="0052688F"/>
    <w:rsid w:val="00532681"/>
    <w:rsid w:val="00532BED"/>
    <w:rsid w:val="005341A3"/>
    <w:rsid w:val="005341D5"/>
    <w:rsid w:val="0053577E"/>
    <w:rsid w:val="0054031E"/>
    <w:rsid w:val="00540D49"/>
    <w:rsid w:val="005455D4"/>
    <w:rsid w:val="00546B30"/>
    <w:rsid w:val="00556F59"/>
    <w:rsid w:val="00561D07"/>
    <w:rsid w:val="0056661C"/>
    <w:rsid w:val="00570F67"/>
    <w:rsid w:val="00583311"/>
    <w:rsid w:val="00595C9D"/>
    <w:rsid w:val="005A7BAD"/>
    <w:rsid w:val="005B09EB"/>
    <w:rsid w:val="005B34DC"/>
    <w:rsid w:val="005B592E"/>
    <w:rsid w:val="005C1B23"/>
    <w:rsid w:val="005C1F05"/>
    <w:rsid w:val="005C681B"/>
    <w:rsid w:val="005D47ED"/>
    <w:rsid w:val="005F1437"/>
    <w:rsid w:val="005F15E3"/>
    <w:rsid w:val="005F3025"/>
    <w:rsid w:val="005F7059"/>
    <w:rsid w:val="00600834"/>
    <w:rsid w:val="00607F8C"/>
    <w:rsid w:val="00612E4D"/>
    <w:rsid w:val="0061612E"/>
    <w:rsid w:val="0062529C"/>
    <w:rsid w:val="00627A7F"/>
    <w:rsid w:val="00643858"/>
    <w:rsid w:val="00644137"/>
    <w:rsid w:val="00644827"/>
    <w:rsid w:val="006450A0"/>
    <w:rsid w:val="0064563F"/>
    <w:rsid w:val="0065283D"/>
    <w:rsid w:val="00653078"/>
    <w:rsid w:val="00653541"/>
    <w:rsid w:val="00656174"/>
    <w:rsid w:val="00660C33"/>
    <w:rsid w:val="00664135"/>
    <w:rsid w:val="0066724D"/>
    <w:rsid w:val="00667747"/>
    <w:rsid w:val="006737EF"/>
    <w:rsid w:val="0067779C"/>
    <w:rsid w:val="00681785"/>
    <w:rsid w:val="006869B4"/>
    <w:rsid w:val="00687E50"/>
    <w:rsid w:val="00691E81"/>
    <w:rsid w:val="006A0519"/>
    <w:rsid w:val="006A2073"/>
    <w:rsid w:val="006A5528"/>
    <w:rsid w:val="006B0FE3"/>
    <w:rsid w:val="006B3016"/>
    <w:rsid w:val="006B3E3C"/>
    <w:rsid w:val="006B69C8"/>
    <w:rsid w:val="006C16EA"/>
    <w:rsid w:val="006C7670"/>
    <w:rsid w:val="006D5371"/>
    <w:rsid w:val="006D6A9B"/>
    <w:rsid w:val="006E26D7"/>
    <w:rsid w:val="006E5EF6"/>
    <w:rsid w:val="006F3C25"/>
    <w:rsid w:val="006F4DA5"/>
    <w:rsid w:val="006F5A13"/>
    <w:rsid w:val="007024BF"/>
    <w:rsid w:val="00702B8A"/>
    <w:rsid w:val="00703D0A"/>
    <w:rsid w:val="00711E4E"/>
    <w:rsid w:val="007234CC"/>
    <w:rsid w:val="00723E8A"/>
    <w:rsid w:val="00742B88"/>
    <w:rsid w:val="0074568C"/>
    <w:rsid w:val="00745D4D"/>
    <w:rsid w:val="00746BF7"/>
    <w:rsid w:val="00750ECE"/>
    <w:rsid w:val="007510BB"/>
    <w:rsid w:val="0075152E"/>
    <w:rsid w:val="0076262F"/>
    <w:rsid w:val="00762DB4"/>
    <w:rsid w:val="00770D1D"/>
    <w:rsid w:val="00773EEC"/>
    <w:rsid w:val="0078687F"/>
    <w:rsid w:val="007879CB"/>
    <w:rsid w:val="0079021F"/>
    <w:rsid w:val="007958A4"/>
    <w:rsid w:val="007A211F"/>
    <w:rsid w:val="007A456D"/>
    <w:rsid w:val="007A770D"/>
    <w:rsid w:val="007B03B9"/>
    <w:rsid w:val="007B75EA"/>
    <w:rsid w:val="007B7E9B"/>
    <w:rsid w:val="007C43A2"/>
    <w:rsid w:val="007C5B08"/>
    <w:rsid w:val="007D426D"/>
    <w:rsid w:val="007D4307"/>
    <w:rsid w:val="007E1872"/>
    <w:rsid w:val="007E2DEC"/>
    <w:rsid w:val="007E4B17"/>
    <w:rsid w:val="007E560E"/>
    <w:rsid w:val="007E5D84"/>
    <w:rsid w:val="00802AC1"/>
    <w:rsid w:val="00807204"/>
    <w:rsid w:val="00811176"/>
    <w:rsid w:val="0081228D"/>
    <w:rsid w:val="00812D65"/>
    <w:rsid w:val="00820550"/>
    <w:rsid w:val="0082503F"/>
    <w:rsid w:val="008278FE"/>
    <w:rsid w:val="00827B59"/>
    <w:rsid w:val="00832F26"/>
    <w:rsid w:val="0083431D"/>
    <w:rsid w:val="00835822"/>
    <w:rsid w:val="00837A5A"/>
    <w:rsid w:val="00847BE7"/>
    <w:rsid w:val="00864A85"/>
    <w:rsid w:val="0086791A"/>
    <w:rsid w:val="00867CD4"/>
    <w:rsid w:val="00867E01"/>
    <w:rsid w:val="0087104F"/>
    <w:rsid w:val="0087649D"/>
    <w:rsid w:val="008827D4"/>
    <w:rsid w:val="00891226"/>
    <w:rsid w:val="008916C5"/>
    <w:rsid w:val="0089243C"/>
    <w:rsid w:val="00892A29"/>
    <w:rsid w:val="00895518"/>
    <w:rsid w:val="008A1945"/>
    <w:rsid w:val="008B022F"/>
    <w:rsid w:val="008B547B"/>
    <w:rsid w:val="008C46C2"/>
    <w:rsid w:val="008C4DF0"/>
    <w:rsid w:val="008C6EDC"/>
    <w:rsid w:val="008D4CFD"/>
    <w:rsid w:val="008D52BF"/>
    <w:rsid w:val="008D55C5"/>
    <w:rsid w:val="008D5B40"/>
    <w:rsid w:val="008D7EAC"/>
    <w:rsid w:val="008E0E47"/>
    <w:rsid w:val="008F550E"/>
    <w:rsid w:val="00900C9C"/>
    <w:rsid w:val="009070F2"/>
    <w:rsid w:val="009139D4"/>
    <w:rsid w:val="0091510D"/>
    <w:rsid w:val="0092313B"/>
    <w:rsid w:val="0092416E"/>
    <w:rsid w:val="00924D6F"/>
    <w:rsid w:val="0092733F"/>
    <w:rsid w:val="00934C9B"/>
    <w:rsid w:val="0093701F"/>
    <w:rsid w:val="00940751"/>
    <w:rsid w:val="00941301"/>
    <w:rsid w:val="00954D6E"/>
    <w:rsid w:val="009631C6"/>
    <w:rsid w:val="00972AEB"/>
    <w:rsid w:val="00981082"/>
    <w:rsid w:val="009830F6"/>
    <w:rsid w:val="009833CE"/>
    <w:rsid w:val="00984BB8"/>
    <w:rsid w:val="00987DFA"/>
    <w:rsid w:val="00991939"/>
    <w:rsid w:val="00992516"/>
    <w:rsid w:val="00994012"/>
    <w:rsid w:val="00996271"/>
    <w:rsid w:val="009A0285"/>
    <w:rsid w:val="009A5DC2"/>
    <w:rsid w:val="009B1279"/>
    <w:rsid w:val="009B1319"/>
    <w:rsid w:val="009B45FC"/>
    <w:rsid w:val="009B46FE"/>
    <w:rsid w:val="009B7802"/>
    <w:rsid w:val="009C1B17"/>
    <w:rsid w:val="009C2B0A"/>
    <w:rsid w:val="009C2BF4"/>
    <w:rsid w:val="009C7A3E"/>
    <w:rsid w:val="009E0B65"/>
    <w:rsid w:val="009E4CA8"/>
    <w:rsid w:val="009F0A33"/>
    <w:rsid w:val="009F2003"/>
    <w:rsid w:val="009F2BE5"/>
    <w:rsid w:val="009F326B"/>
    <w:rsid w:val="009F3339"/>
    <w:rsid w:val="009F7C10"/>
    <w:rsid w:val="00A0245F"/>
    <w:rsid w:val="00A146F4"/>
    <w:rsid w:val="00A2271A"/>
    <w:rsid w:val="00A273FE"/>
    <w:rsid w:val="00A318B0"/>
    <w:rsid w:val="00A31B0D"/>
    <w:rsid w:val="00A35725"/>
    <w:rsid w:val="00A412D5"/>
    <w:rsid w:val="00A45C36"/>
    <w:rsid w:val="00A477F0"/>
    <w:rsid w:val="00A5493D"/>
    <w:rsid w:val="00A66749"/>
    <w:rsid w:val="00A743E6"/>
    <w:rsid w:val="00A7712E"/>
    <w:rsid w:val="00A80021"/>
    <w:rsid w:val="00A80C9D"/>
    <w:rsid w:val="00A8779D"/>
    <w:rsid w:val="00A91243"/>
    <w:rsid w:val="00A924DA"/>
    <w:rsid w:val="00A92737"/>
    <w:rsid w:val="00A9310F"/>
    <w:rsid w:val="00A95325"/>
    <w:rsid w:val="00A96A3C"/>
    <w:rsid w:val="00AA27C9"/>
    <w:rsid w:val="00AA3AB9"/>
    <w:rsid w:val="00AB2727"/>
    <w:rsid w:val="00AB3D3C"/>
    <w:rsid w:val="00AB57B2"/>
    <w:rsid w:val="00AC5BD9"/>
    <w:rsid w:val="00AC7405"/>
    <w:rsid w:val="00AD173E"/>
    <w:rsid w:val="00AD3006"/>
    <w:rsid w:val="00AD76BB"/>
    <w:rsid w:val="00AE0B97"/>
    <w:rsid w:val="00AE51B5"/>
    <w:rsid w:val="00B008C6"/>
    <w:rsid w:val="00B039F2"/>
    <w:rsid w:val="00B0453F"/>
    <w:rsid w:val="00B0769B"/>
    <w:rsid w:val="00B10119"/>
    <w:rsid w:val="00B10ED1"/>
    <w:rsid w:val="00B20961"/>
    <w:rsid w:val="00B24A8E"/>
    <w:rsid w:val="00B25F86"/>
    <w:rsid w:val="00B31D5B"/>
    <w:rsid w:val="00B40C26"/>
    <w:rsid w:val="00B4212D"/>
    <w:rsid w:val="00B45A99"/>
    <w:rsid w:val="00B51487"/>
    <w:rsid w:val="00B61432"/>
    <w:rsid w:val="00B6539E"/>
    <w:rsid w:val="00B66174"/>
    <w:rsid w:val="00B67E42"/>
    <w:rsid w:val="00B70CBD"/>
    <w:rsid w:val="00B71828"/>
    <w:rsid w:val="00B723EC"/>
    <w:rsid w:val="00B73996"/>
    <w:rsid w:val="00B73BAB"/>
    <w:rsid w:val="00B7457F"/>
    <w:rsid w:val="00B766C0"/>
    <w:rsid w:val="00B83BAB"/>
    <w:rsid w:val="00B861FF"/>
    <w:rsid w:val="00B91EFC"/>
    <w:rsid w:val="00B94DA9"/>
    <w:rsid w:val="00B9659A"/>
    <w:rsid w:val="00BA4EEA"/>
    <w:rsid w:val="00BA732F"/>
    <w:rsid w:val="00BB09F8"/>
    <w:rsid w:val="00BB342E"/>
    <w:rsid w:val="00BB5F91"/>
    <w:rsid w:val="00BC19F6"/>
    <w:rsid w:val="00BD2891"/>
    <w:rsid w:val="00BD2B86"/>
    <w:rsid w:val="00BD5275"/>
    <w:rsid w:val="00BD68AD"/>
    <w:rsid w:val="00BD7285"/>
    <w:rsid w:val="00BD75C5"/>
    <w:rsid w:val="00BF696E"/>
    <w:rsid w:val="00C0612F"/>
    <w:rsid w:val="00C07400"/>
    <w:rsid w:val="00C14701"/>
    <w:rsid w:val="00C22020"/>
    <w:rsid w:val="00C2241E"/>
    <w:rsid w:val="00C24085"/>
    <w:rsid w:val="00C31DB1"/>
    <w:rsid w:val="00C3267B"/>
    <w:rsid w:val="00C33FEA"/>
    <w:rsid w:val="00C340DA"/>
    <w:rsid w:val="00C36E0D"/>
    <w:rsid w:val="00C43F0D"/>
    <w:rsid w:val="00C44ACA"/>
    <w:rsid w:val="00C46ADC"/>
    <w:rsid w:val="00C538BD"/>
    <w:rsid w:val="00C60C05"/>
    <w:rsid w:val="00C82C65"/>
    <w:rsid w:val="00C86017"/>
    <w:rsid w:val="00C861FB"/>
    <w:rsid w:val="00CA2B27"/>
    <w:rsid w:val="00CA6087"/>
    <w:rsid w:val="00CB0DF5"/>
    <w:rsid w:val="00CB1778"/>
    <w:rsid w:val="00CB273D"/>
    <w:rsid w:val="00CB7B84"/>
    <w:rsid w:val="00CC370A"/>
    <w:rsid w:val="00CC6D05"/>
    <w:rsid w:val="00CE4270"/>
    <w:rsid w:val="00CF300F"/>
    <w:rsid w:val="00CF4805"/>
    <w:rsid w:val="00D04993"/>
    <w:rsid w:val="00D057D3"/>
    <w:rsid w:val="00D07E62"/>
    <w:rsid w:val="00D1164D"/>
    <w:rsid w:val="00D124D0"/>
    <w:rsid w:val="00D17B61"/>
    <w:rsid w:val="00D20513"/>
    <w:rsid w:val="00D205ED"/>
    <w:rsid w:val="00D303D8"/>
    <w:rsid w:val="00D35119"/>
    <w:rsid w:val="00D47318"/>
    <w:rsid w:val="00D51085"/>
    <w:rsid w:val="00D62383"/>
    <w:rsid w:val="00D6625A"/>
    <w:rsid w:val="00D663D7"/>
    <w:rsid w:val="00DA1D77"/>
    <w:rsid w:val="00DA3972"/>
    <w:rsid w:val="00DA7EA0"/>
    <w:rsid w:val="00DB6204"/>
    <w:rsid w:val="00DB6C1C"/>
    <w:rsid w:val="00DC44C2"/>
    <w:rsid w:val="00DC55BF"/>
    <w:rsid w:val="00DD5BE7"/>
    <w:rsid w:val="00DD5C85"/>
    <w:rsid w:val="00DE57BD"/>
    <w:rsid w:val="00DE6566"/>
    <w:rsid w:val="00DE70E7"/>
    <w:rsid w:val="00DE7F8C"/>
    <w:rsid w:val="00DF3AE7"/>
    <w:rsid w:val="00DF6F09"/>
    <w:rsid w:val="00E01CE1"/>
    <w:rsid w:val="00E02339"/>
    <w:rsid w:val="00E02D29"/>
    <w:rsid w:val="00E049E6"/>
    <w:rsid w:val="00E0607A"/>
    <w:rsid w:val="00E07096"/>
    <w:rsid w:val="00E109F8"/>
    <w:rsid w:val="00E12EAD"/>
    <w:rsid w:val="00E12ED3"/>
    <w:rsid w:val="00E17C20"/>
    <w:rsid w:val="00E209BD"/>
    <w:rsid w:val="00E21C78"/>
    <w:rsid w:val="00E2254F"/>
    <w:rsid w:val="00E34368"/>
    <w:rsid w:val="00E34A93"/>
    <w:rsid w:val="00E35358"/>
    <w:rsid w:val="00E50114"/>
    <w:rsid w:val="00E5164C"/>
    <w:rsid w:val="00E5174E"/>
    <w:rsid w:val="00E52A68"/>
    <w:rsid w:val="00E54812"/>
    <w:rsid w:val="00E55D3D"/>
    <w:rsid w:val="00E6235F"/>
    <w:rsid w:val="00E627BD"/>
    <w:rsid w:val="00E63B72"/>
    <w:rsid w:val="00E71A97"/>
    <w:rsid w:val="00E7250F"/>
    <w:rsid w:val="00E80318"/>
    <w:rsid w:val="00E81EA3"/>
    <w:rsid w:val="00E83CC8"/>
    <w:rsid w:val="00E85F80"/>
    <w:rsid w:val="00E86147"/>
    <w:rsid w:val="00E86434"/>
    <w:rsid w:val="00E86E98"/>
    <w:rsid w:val="00E937F6"/>
    <w:rsid w:val="00E97E87"/>
    <w:rsid w:val="00EA200E"/>
    <w:rsid w:val="00EA41C9"/>
    <w:rsid w:val="00EA6934"/>
    <w:rsid w:val="00EC1F78"/>
    <w:rsid w:val="00EC4FE9"/>
    <w:rsid w:val="00ED1B37"/>
    <w:rsid w:val="00ED2D56"/>
    <w:rsid w:val="00ED795B"/>
    <w:rsid w:val="00EE44B5"/>
    <w:rsid w:val="00EF09FA"/>
    <w:rsid w:val="00EF23E6"/>
    <w:rsid w:val="00EF74B4"/>
    <w:rsid w:val="00F008A7"/>
    <w:rsid w:val="00F07862"/>
    <w:rsid w:val="00F10DDB"/>
    <w:rsid w:val="00F13BD7"/>
    <w:rsid w:val="00F14E37"/>
    <w:rsid w:val="00F15992"/>
    <w:rsid w:val="00F1791E"/>
    <w:rsid w:val="00F21829"/>
    <w:rsid w:val="00F22415"/>
    <w:rsid w:val="00F23F8B"/>
    <w:rsid w:val="00F27DD6"/>
    <w:rsid w:val="00F3299D"/>
    <w:rsid w:val="00F4113A"/>
    <w:rsid w:val="00F46951"/>
    <w:rsid w:val="00F47CAF"/>
    <w:rsid w:val="00F47F1C"/>
    <w:rsid w:val="00F52CD6"/>
    <w:rsid w:val="00F5568D"/>
    <w:rsid w:val="00F715FA"/>
    <w:rsid w:val="00F759D2"/>
    <w:rsid w:val="00F77FD1"/>
    <w:rsid w:val="00F810C3"/>
    <w:rsid w:val="00F81575"/>
    <w:rsid w:val="00F81D65"/>
    <w:rsid w:val="00F83778"/>
    <w:rsid w:val="00F873D2"/>
    <w:rsid w:val="00F908A7"/>
    <w:rsid w:val="00F96A0A"/>
    <w:rsid w:val="00F9742D"/>
    <w:rsid w:val="00F97A8A"/>
    <w:rsid w:val="00FB0E99"/>
    <w:rsid w:val="00FB22BF"/>
    <w:rsid w:val="00FB2DAE"/>
    <w:rsid w:val="00FB4B85"/>
    <w:rsid w:val="00FB63CF"/>
    <w:rsid w:val="00FB7051"/>
    <w:rsid w:val="00FB73A6"/>
    <w:rsid w:val="00FC072A"/>
    <w:rsid w:val="00FC17E0"/>
    <w:rsid w:val="00FC6A12"/>
    <w:rsid w:val="00FD1842"/>
    <w:rsid w:val="00FE0BDE"/>
    <w:rsid w:val="00FE2440"/>
    <w:rsid w:val="00FE26B5"/>
    <w:rsid w:val="00FE4570"/>
    <w:rsid w:val="00FE4896"/>
    <w:rsid w:val="00FF4A17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CD953"/>
  <w15:chartTrackingRefBased/>
  <w15:docId w15:val="{7449653C-A4A9-41F4-8D2B-7657C0F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368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D5371"/>
    <w:pPr>
      <w:widowControl w:val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73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4A85"/>
  </w:style>
  <w:style w:type="paragraph" w:styleId="BalloonText">
    <w:name w:val="Balloon Text"/>
    <w:basedOn w:val="Normal"/>
    <w:link w:val="BalloonTextChar"/>
    <w:uiPriority w:val="99"/>
    <w:rsid w:val="003E7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E1AF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3E7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73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833C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E736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833CE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92A29"/>
    <w:pPr>
      <w:ind w:left="720"/>
      <w:contextualSpacing/>
    </w:pPr>
  </w:style>
  <w:style w:type="paragraph" w:styleId="Revision">
    <w:name w:val="Revision"/>
    <w:hidden/>
    <w:uiPriority w:val="99"/>
    <w:semiHidden/>
    <w:rsid w:val="000D588A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8D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E7368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E7368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7368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unhideWhenUsed/>
    <w:rsid w:val="003E736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E7368"/>
    <w:rPr>
      <w:rFonts w:ascii="Arial" w:eastAsiaTheme="minorHAnsi" w:hAnsi="Arial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3E7368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D5371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49FCB-836B-4A7E-AB49-A66896FC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1182</Words>
  <Characters>6656</Characters>
  <Application>Microsoft Office Word</Application>
  <DocSecurity>0</DocSecurity>
  <Lines>158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URS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DParmerl</dc:creator>
  <cp:keywords/>
  <cp:lastModifiedBy>Pawelec, David B. (MDOT)</cp:lastModifiedBy>
  <cp:revision>8</cp:revision>
  <cp:lastPrinted>2022-04-14T12:56:00Z</cp:lastPrinted>
  <dcterms:created xsi:type="dcterms:W3CDTF">2022-07-10T15:51:00Z</dcterms:created>
  <dcterms:modified xsi:type="dcterms:W3CDTF">2026-04-02T15:12:00Z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2f46dfe0-534f-4c95-815c-5b1af86b9823_Enabled">
    <vt:lpwstr>true</vt:lpwstr>
  </property>
  <property fmtid="{D5CDD505-2E9C-101B-9397-08002B2CF9AE}" pid="37" name="MSIP_Label_2f46dfe0-534f-4c95-815c-5b1af86b9823_SetDate">
    <vt:lpwstr>2021-04-18T14:08:30Z</vt:lpwstr>
  </property>
  <property fmtid="{D5CDD505-2E9C-101B-9397-08002B2CF9AE}" pid="38" name="MSIP_Label_2f46dfe0-534f-4c95-815c-5b1af86b9823_Method">
    <vt:lpwstr>Privileged</vt:lpwstr>
  </property>
  <property fmtid="{D5CDD505-2E9C-101B-9397-08002B2CF9AE}" pid="39" name="MSIP_Label_2f46dfe0-534f-4c95-815c-5b1af86b9823_Name">
    <vt:lpwstr>2f46dfe0-534f-4c95-815c-5b1af86b9823</vt:lpwstr>
  </property>
  <property fmtid="{D5CDD505-2E9C-101B-9397-08002B2CF9AE}" pid="40" name="MSIP_Label_2f46dfe0-534f-4c95-815c-5b1af86b9823_SiteId">
    <vt:lpwstr>d5fb7087-3777-42ad-966a-892ef47225d1</vt:lpwstr>
  </property>
  <property fmtid="{D5CDD505-2E9C-101B-9397-08002B2CF9AE}" pid="41" name="MSIP_Label_2f46dfe0-534f-4c95-815c-5b1af86b9823_ActionId">
    <vt:lpwstr>ba6d092d-84d5-4c46-b902-a06e3f3fcc1d</vt:lpwstr>
  </property>
  <property fmtid="{D5CDD505-2E9C-101B-9397-08002B2CF9AE}" pid="42" name="MSIP_Label_2f46dfe0-534f-4c95-815c-5b1af86b9823_ContentBits">
    <vt:lpwstr>0</vt:lpwstr>
  </property>
</Properties>
</file>