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2F97" w14:textId="77777777" w:rsidR="00595C9D" w:rsidRPr="00546D50" w:rsidRDefault="00864A85" w:rsidP="00546D50">
      <w:pPr>
        <w:widowControl w:val="0"/>
        <w:jc w:val="center"/>
        <w:rPr>
          <w:sz w:val="24"/>
          <w:szCs w:val="24"/>
        </w:rPr>
      </w:pPr>
      <w:r w:rsidRPr="00690AB2">
        <w:rPr>
          <w:sz w:val="24"/>
          <w:szCs w:val="24"/>
        </w:rPr>
        <w:t>MICHIGAN</w:t>
      </w:r>
    </w:p>
    <w:p w14:paraId="443B8261" w14:textId="77777777" w:rsidR="00864A85" w:rsidRPr="00546D50" w:rsidRDefault="00864A85" w:rsidP="00546D50">
      <w:pPr>
        <w:widowControl w:val="0"/>
        <w:jc w:val="center"/>
        <w:rPr>
          <w:sz w:val="24"/>
          <w:szCs w:val="24"/>
        </w:rPr>
      </w:pPr>
      <w:r w:rsidRPr="00546D50">
        <w:rPr>
          <w:sz w:val="24"/>
          <w:szCs w:val="24"/>
        </w:rPr>
        <w:t>DEPARTMENT OF TRANSPORTATION</w:t>
      </w:r>
    </w:p>
    <w:p w14:paraId="3A05AADD" w14:textId="77777777" w:rsidR="00864A85" w:rsidRPr="00546D50" w:rsidRDefault="00864A85" w:rsidP="00546D50">
      <w:pPr>
        <w:widowControl w:val="0"/>
        <w:jc w:val="center"/>
        <w:rPr>
          <w:sz w:val="24"/>
          <w:szCs w:val="24"/>
        </w:rPr>
      </w:pPr>
    </w:p>
    <w:p w14:paraId="0678C225" w14:textId="77777777" w:rsidR="00864A85" w:rsidRPr="00546D50" w:rsidRDefault="00864A85" w:rsidP="00546D50">
      <w:pPr>
        <w:widowControl w:val="0"/>
        <w:jc w:val="center"/>
        <w:rPr>
          <w:sz w:val="24"/>
          <w:szCs w:val="24"/>
        </w:rPr>
      </w:pPr>
      <w:r w:rsidRPr="00546D50">
        <w:rPr>
          <w:sz w:val="24"/>
          <w:szCs w:val="24"/>
        </w:rPr>
        <w:t>SPECIAL PROVISION</w:t>
      </w:r>
    </w:p>
    <w:p w14:paraId="61BCC175" w14:textId="77777777" w:rsidR="00864A85" w:rsidRPr="00546D50" w:rsidRDefault="00864A85" w:rsidP="00546D50">
      <w:pPr>
        <w:widowControl w:val="0"/>
        <w:jc w:val="center"/>
        <w:rPr>
          <w:sz w:val="24"/>
          <w:szCs w:val="24"/>
        </w:rPr>
      </w:pPr>
      <w:r w:rsidRPr="00546D50">
        <w:rPr>
          <w:sz w:val="24"/>
          <w:szCs w:val="24"/>
        </w:rPr>
        <w:t>FOR</w:t>
      </w:r>
    </w:p>
    <w:p w14:paraId="2156924D" w14:textId="25F56727" w:rsidR="00864A85" w:rsidRPr="00546D50" w:rsidRDefault="00427014" w:rsidP="00546D50">
      <w:pPr>
        <w:widowControl w:val="0"/>
        <w:jc w:val="center"/>
        <w:rPr>
          <w:bCs/>
          <w:sz w:val="24"/>
          <w:szCs w:val="24"/>
        </w:rPr>
      </w:pPr>
      <w:r w:rsidRPr="00546D50">
        <w:rPr>
          <w:b/>
          <w:sz w:val="24"/>
          <w:szCs w:val="24"/>
        </w:rPr>
        <w:t>BACKFILL, LIGHTWEIGHT, SLAG AGGREGATE</w:t>
      </w:r>
    </w:p>
    <w:p w14:paraId="113763ED" w14:textId="77777777" w:rsidR="00864A85" w:rsidRPr="00864A85" w:rsidRDefault="00864A85" w:rsidP="00546D50">
      <w:pPr>
        <w:widowControl w:val="0"/>
        <w:jc w:val="both"/>
        <w:rPr>
          <w:sz w:val="24"/>
          <w:szCs w:val="24"/>
        </w:rPr>
      </w:pPr>
    </w:p>
    <w:p w14:paraId="684DBB9E" w14:textId="7628163A" w:rsidR="00864A85" w:rsidRPr="00546D50" w:rsidRDefault="00E050A6" w:rsidP="00546D50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r w:rsidRPr="00546D50">
        <w:rPr>
          <w:sz w:val="24"/>
          <w:szCs w:val="24"/>
        </w:rPr>
        <w:t>BRG</w:t>
      </w:r>
      <w:r w:rsidR="00C8628D" w:rsidRPr="00546D50">
        <w:rPr>
          <w:sz w:val="24"/>
          <w:szCs w:val="24"/>
        </w:rPr>
        <w:t>:</w:t>
      </w:r>
      <w:r w:rsidRPr="00546D50">
        <w:rPr>
          <w:sz w:val="24"/>
          <w:szCs w:val="24"/>
        </w:rPr>
        <w:t>J</w:t>
      </w:r>
      <w:r w:rsidR="00065E00" w:rsidRPr="00546D50">
        <w:rPr>
          <w:sz w:val="24"/>
          <w:szCs w:val="24"/>
        </w:rPr>
        <w:t>V</w:t>
      </w:r>
      <w:r w:rsidRPr="00546D50">
        <w:rPr>
          <w:sz w:val="24"/>
          <w:szCs w:val="24"/>
        </w:rPr>
        <w:t>N</w:t>
      </w:r>
      <w:r w:rsidR="00864A85" w:rsidRPr="00546D50">
        <w:rPr>
          <w:sz w:val="24"/>
          <w:szCs w:val="24"/>
        </w:rPr>
        <w:tab/>
      </w:r>
      <w:r w:rsidR="00690AB2" w:rsidRPr="00546D50">
        <w:rPr>
          <w:sz w:val="24"/>
          <w:szCs w:val="24"/>
        </w:rPr>
        <w:fldChar w:fldCharType="begin"/>
      </w:r>
      <w:r w:rsidR="00690AB2" w:rsidRPr="00546D50">
        <w:rPr>
          <w:sz w:val="24"/>
          <w:szCs w:val="24"/>
        </w:rPr>
        <w:instrText xml:space="preserve"> PAGE  \* Arabic  \* MERGEFORMAT </w:instrText>
      </w:r>
      <w:r w:rsidR="00690AB2" w:rsidRPr="00546D50">
        <w:rPr>
          <w:sz w:val="24"/>
          <w:szCs w:val="24"/>
        </w:rPr>
        <w:fldChar w:fldCharType="separate"/>
      </w:r>
      <w:r w:rsidR="00546D50">
        <w:rPr>
          <w:noProof/>
          <w:sz w:val="24"/>
          <w:szCs w:val="24"/>
        </w:rPr>
        <w:t>1</w:t>
      </w:r>
      <w:r w:rsidR="00690AB2" w:rsidRPr="00546D50">
        <w:rPr>
          <w:sz w:val="24"/>
          <w:szCs w:val="24"/>
        </w:rPr>
        <w:fldChar w:fldCharType="end"/>
      </w:r>
      <w:r w:rsidR="00690AB2" w:rsidRPr="00546D50">
        <w:rPr>
          <w:sz w:val="24"/>
          <w:szCs w:val="24"/>
        </w:rPr>
        <w:t xml:space="preserve"> of </w:t>
      </w:r>
      <w:r w:rsidR="00690AB2" w:rsidRPr="00546D50">
        <w:rPr>
          <w:sz w:val="24"/>
          <w:szCs w:val="24"/>
        </w:rPr>
        <w:fldChar w:fldCharType="begin"/>
      </w:r>
      <w:r w:rsidR="00690AB2" w:rsidRPr="00546D50">
        <w:rPr>
          <w:sz w:val="24"/>
          <w:szCs w:val="24"/>
        </w:rPr>
        <w:instrText xml:space="preserve"> NUMPAGES  \* Arabic  \* MERGEFORMAT </w:instrText>
      </w:r>
      <w:r w:rsidR="00690AB2" w:rsidRPr="00546D50">
        <w:rPr>
          <w:sz w:val="24"/>
          <w:szCs w:val="24"/>
        </w:rPr>
        <w:fldChar w:fldCharType="separate"/>
      </w:r>
      <w:r w:rsidR="00546D50">
        <w:rPr>
          <w:noProof/>
          <w:sz w:val="24"/>
          <w:szCs w:val="24"/>
        </w:rPr>
        <w:t>2</w:t>
      </w:r>
      <w:r w:rsidR="00690AB2" w:rsidRPr="00546D50">
        <w:rPr>
          <w:sz w:val="24"/>
          <w:szCs w:val="24"/>
        </w:rPr>
        <w:fldChar w:fldCharType="end"/>
      </w:r>
      <w:r w:rsidR="00864A85" w:rsidRPr="00546D50">
        <w:rPr>
          <w:sz w:val="24"/>
          <w:szCs w:val="24"/>
        </w:rPr>
        <w:tab/>
        <w:t>APPR:</w:t>
      </w:r>
      <w:r w:rsidR="009D37F3" w:rsidRPr="00546D50">
        <w:rPr>
          <w:sz w:val="24"/>
          <w:szCs w:val="24"/>
        </w:rPr>
        <w:t>DMG</w:t>
      </w:r>
      <w:r w:rsidR="00864A85" w:rsidRPr="00546D50">
        <w:rPr>
          <w:sz w:val="24"/>
          <w:szCs w:val="24"/>
        </w:rPr>
        <w:t>:</w:t>
      </w:r>
      <w:r w:rsidR="00042232" w:rsidRPr="00546D50">
        <w:rPr>
          <w:sz w:val="24"/>
          <w:szCs w:val="24"/>
        </w:rPr>
        <w:t>DBP</w:t>
      </w:r>
      <w:r w:rsidR="00864A85" w:rsidRPr="00546D50">
        <w:rPr>
          <w:sz w:val="24"/>
          <w:szCs w:val="24"/>
        </w:rPr>
        <w:t>:</w:t>
      </w:r>
      <w:r w:rsidR="00042232" w:rsidRPr="00546D50">
        <w:rPr>
          <w:sz w:val="24"/>
          <w:szCs w:val="24"/>
        </w:rPr>
        <w:t>0</w:t>
      </w:r>
      <w:r w:rsidR="00546D50">
        <w:rPr>
          <w:sz w:val="24"/>
          <w:szCs w:val="24"/>
        </w:rPr>
        <w:t>2</w:t>
      </w:r>
      <w:r w:rsidR="00042232" w:rsidRPr="00546D50">
        <w:rPr>
          <w:sz w:val="24"/>
          <w:szCs w:val="24"/>
        </w:rPr>
        <w:t>-</w:t>
      </w:r>
      <w:r w:rsidR="00546D50">
        <w:rPr>
          <w:sz w:val="24"/>
          <w:szCs w:val="24"/>
        </w:rPr>
        <w:t>22</w:t>
      </w:r>
      <w:r w:rsidR="00042232" w:rsidRPr="00546D50">
        <w:rPr>
          <w:sz w:val="24"/>
          <w:szCs w:val="24"/>
        </w:rPr>
        <w:t>-21</w:t>
      </w:r>
    </w:p>
    <w:p w14:paraId="76B3519B" w14:textId="77777777" w:rsidR="00690AB2" w:rsidRPr="00546D50" w:rsidRDefault="00690AB2" w:rsidP="00546D50">
      <w:pPr>
        <w:widowControl w:val="0"/>
        <w:jc w:val="both"/>
        <w:rPr>
          <w:bCs/>
        </w:rPr>
      </w:pPr>
    </w:p>
    <w:p w14:paraId="092385E7" w14:textId="7AE9AC92" w:rsidR="00E54812" w:rsidRPr="00546D50" w:rsidRDefault="00864A85" w:rsidP="00546D50">
      <w:pPr>
        <w:widowControl w:val="0"/>
        <w:ind w:firstLine="360"/>
        <w:jc w:val="both"/>
      </w:pPr>
      <w:r w:rsidRPr="00546D50">
        <w:rPr>
          <w:b/>
        </w:rPr>
        <w:t>a.</w:t>
      </w:r>
      <w:r w:rsidRPr="00546D50">
        <w:rPr>
          <w:b/>
        </w:rPr>
        <w:tab/>
        <w:t>Description.</w:t>
      </w:r>
      <w:r w:rsidR="00427014" w:rsidRPr="00546D50">
        <w:t xml:space="preserve">  </w:t>
      </w:r>
      <w:r w:rsidR="00553E04" w:rsidRPr="00546D50">
        <w:t>This work consists of f</w:t>
      </w:r>
      <w:r w:rsidR="00427014" w:rsidRPr="00546D50">
        <w:t>urnish</w:t>
      </w:r>
      <w:r w:rsidR="00553E04" w:rsidRPr="00546D50">
        <w:t>ing</w:t>
      </w:r>
      <w:r w:rsidR="00427014" w:rsidRPr="00546D50">
        <w:t>, plac</w:t>
      </w:r>
      <w:r w:rsidR="00553E04" w:rsidRPr="00546D50">
        <w:t>ing</w:t>
      </w:r>
      <w:r w:rsidR="00690AB2">
        <w:t>,</w:t>
      </w:r>
      <w:r w:rsidR="00427014" w:rsidRPr="00546D50">
        <w:t xml:space="preserve"> and compact</w:t>
      </w:r>
      <w:r w:rsidR="00553E04" w:rsidRPr="00546D50">
        <w:t>ing</w:t>
      </w:r>
      <w:r w:rsidR="00427014" w:rsidRPr="00546D50">
        <w:t xml:space="preserve"> backfill consisting of </w:t>
      </w:r>
      <w:r w:rsidR="0028211A" w:rsidRPr="00546D50">
        <w:t xml:space="preserve">lightweight </w:t>
      </w:r>
      <w:r w:rsidR="00553E04" w:rsidRPr="00546D50">
        <w:t xml:space="preserve">iron blast furnace slag aggregate </w:t>
      </w:r>
      <w:r w:rsidR="00F15879" w:rsidRPr="00546D50">
        <w:t>(IBFS</w:t>
      </w:r>
      <w:r w:rsidR="004D4E33" w:rsidRPr="00546D50">
        <w:t>A</w:t>
      </w:r>
      <w:r w:rsidR="00F15879" w:rsidRPr="00546D50">
        <w:t>)</w:t>
      </w:r>
      <w:r w:rsidR="00427014" w:rsidRPr="00546D50">
        <w:t xml:space="preserve">.  Place the backfill to the limits shown on the plans and </w:t>
      </w:r>
      <w:r w:rsidR="00690AB2">
        <w:t xml:space="preserve">in </w:t>
      </w:r>
      <w:r w:rsidR="00427014" w:rsidRPr="00546D50">
        <w:t>accord</w:t>
      </w:r>
      <w:r w:rsidR="00690AB2">
        <w:t xml:space="preserve">ance with the </w:t>
      </w:r>
      <w:r w:rsidR="00427014" w:rsidRPr="00546D50">
        <w:t>requirements contained herein.</w:t>
      </w:r>
    </w:p>
    <w:p w14:paraId="32D498CE" w14:textId="77777777" w:rsidR="00864A85" w:rsidRPr="00546D50" w:rsidRDefault="00864A85" w:rsidP="00546D50">
      <w:pPr>
        <w:widowControl w:val="0"/>
        <w:jc w:val="both"/>
      </w:pPr>
    </w:p>
    <w:p w14:paraId="20F6DEEB" w14:textId="77777777" w:rsidR="00864A85" w:rsidRPr="0071463C" w:rsidRDefault="00864A85" w:rsidP="00546D50">
      <w:pPr>
        <w:widowControl w:val="0"/>
        <w:ind w:firstLine="360"/>
        <w:jc w:val="both"/>
      </w:pPr>
      <w:r w:rsidRPr="0071463C">
        <w:rPr>
          <w:b/>
        </w:rPr>
        <w:t>b.</w:t>
      </w:r>
      <w:r w:rsidRPr="0071463C">
        <w:rPr>
          <w:b/>
        </w:rPr>
        <w:tab/>
        <w:t>Materials.</w:t>
      </w:r>
    </w:p>
    <w:p w14:paraId="39D2AD2C" w14:textId="77777777" w:rsidR="00427014" w:rsidRPr="0071463C" w:rsidRDefault="00427014" w:rsidP="00546D50">
      <w:pPr>
        <w:widowControl w:val="0"/>
        <w:jc w:val="both"/>
      </w:pPr>
    </w:p>
    <w:p w14:paraId="624A359E" w14:textId="718E66D4" w:rsidR="00427014" w:rsidRPr="0071463C" w:rsidRDefault="00427014" w:rsidP="00546D50">
      <w:pPr>
        <w:widowControl w:val="0"/>
        <w:ind w:left="360" w:firstLine="360"/>
        <w:jc w:val="both"/>
      </w:pPr>
      <w:r w:rsidRPr="0071463C">
        <w:t>1.</w:t>
      </w:r>
      <w:r w:rsidRPr="0071463C">
        <w:tab/>
        <w:t>Iron Blast Furnace Slag</w:t>
      </w:r>
      <w:r w:rsidR="004D4E33" w:rsidRPr="0071463C">
        <w:t xml:space="preserve"> Aggregate</w:t>
      </w:r>
      <w:r w:rsidRPr="0071463C">
        <w:t xml:space="preserve">.  Use </w:t>
      </w:r>
      <w:r w:rsidR="00F15879" w:rsidRPr="0071463C">
        <w:t>IBFS</w:t>
      </w:r>
      <w:r w:rsidR="004D4E33" w:rsidRPr="0071463C">
        <w:t>A</w:t>
      </w:r>
      <w:r w:rsidR="00F15879" w:rsidRPr="0071463C">
        <w:t xml:space="preserve"> </w:t>
      </w:r>
      <w:r w:rsidR="00553E04">
        <w:t xml:space="preserve">in </w:t>
      </w:r>
      <w:r w:rsidR="00F15879" w:rsidRPr="0071463C">
        <w:t>accord</w:t>
      </w:r>
      <w:r w:rsidR="00553E04">
        <w:t>ance</w:t>
      </w:r>
      <w:r w:rsidR="00F15879" w:rsidRPr="0071463C">
        <w:t xml:space="preserve"> </w:t>
      </w:r>
      <w:r w:rsidR="00553E04">
        <w:t>with</w:t>
      </w:r>
      <w:r w:rsidR="00F15879" w:rsidRPr="0071463C">
        <w:t xml:space="preserve"> subsection 902.02.A of the Standard Specifications for Construction.  </w:t>
      </w:r>
      <w:r w:rsidR="00DF62CF" w:rsidRPr="0071463C">
        <w:t>The IBFS</w:t>
      </w:r>
      <w:r w:rsidR="004D4E33" w:rsidRPr="0071463C">
        <w:t>A</w:t>
      </w:r>
      <w:r w:rsidR="00DF62CF" w:rsidRPr="0071463C">
        <w:t xml:space="preserve"> must not exceed 50 percent loss </w:t>
      </w:r>
      <w:r w:rsidR="00690AB2">
        <w:t xml:space="preserve">in </w:t>
      </w:r>
      <w:r w:rsidR="00DF62CF" w:rsidRPr="0071463C">
        <w:t>acc</w:t>
      </w:r>
      <w:r w:rsidR="00C84082" w:rsidRPr="0071463C">
        <w:t>ord</w:t>
      </w:r>
      <w:r w:rsidR="00690AB2">
        <w:t xml:space="preserve">ance with </w:t>
      </w:r>
      <w:r w:rsidR="00E81B5B" w:rsidRPr="00546D50">
        <w:rPr>
          <w:i/>
          <w:iCs/>
        </w:rPr>
        <w:t>ASTM C131</w:t>
      </w:r>
      <w:r w:rsidR="00690AB2">
        <w:rPr>
          <w:i/>
          <w:iCs/>
        </w:rPr>
        <w:t>/C131M</w:t>
      </w:r>
      <w:r w:rsidR="00DF62CF" w:rsidRPr="0071463C">
        <w:t xml:space="preserve">.  </w:t>
      </w:r>
      <w:r w:rsidR="00F15879" w:rsidRPr="0071463C">
        <w:t>In addition, the m</w:t>
      </w:r>
      <w:r w:rsidR="00444A97" w:rsidRPr="0071463C">
        <w:t xml:space="preserve">aterial must meet the gradation shown in Table </w:t>
      </w:r>
      <w:r w:rsidR="00912581">
        <w:t>902-1 of the Standard Specifications for Construction for 6A</w:t>
      </w:r>
      <w:r w:rsidR="00BD132C">
        <w:t>A</w:t>
      </w:r>
      <w:r w:rsidR="00912581">
        <w:t xml:space="preserve"> coarse aggregate</w:t>
      </w:r>
      <w:r w:rsidR="00444A97" w:rsidRPr="0071463C">
        <w:t>.</w:t>
      </w:r>
    </w:p>
    <w:p w14:paraId="53F7D6EC" w14:textId="77777777" w:rsidR="00444A97" w:rsidRPr="0071463C" w:rsidRDefault="00444A97" w:rsidP="00546D50">
      <w:pPr>
        <w:widowControl w:val="0"/>
        <w:jc w:val="both"/>
      </w:pPr>
    </w:p>
    <w:p w14:paraId="65FD047B" w14:textId="1D58E19B" w:rsidR="00427014" w:rsidRPr="0071463C" w:rsidRDefault="00427014" w:rsidP="00546D50">
      <w:pPr>
        <w:widowControl w:val="0"/>
        <w:ind w:left="360" w:firstLine="360"/>
        <w:jc w:val="both"/>
      </w:pPr>
      <w:r w:rsidRPr="0071463C">
        <w:t>2.</w:t>
      </w:r>
      <w:r w:rsidRPr="0071463C">
        <w:tab/>
        <w:t xml:space="preserve">Stabilization Geotextile.  </w:t>
      </w:r>
      <w:r w:rsidR="00690AB2">
        <w:t>Provide</w:t>
      </w:r>
      <w:r w:rsidR="005626B7" w:rsidRPr="0071463C">
        <w:t xml:space="preserve"> Class 1 non-woven stabilization geotextile </w:t>
      </w:r>
      <w:r w:rsidR="005E535C">
        <w:t xml:space="preserve">in </w:t>
      </w:r>
      <w:r w:rsidRPr="0071463C">
        <w:t>accord</w:t>
      </w:r>
      <w:r w:rsidR="005E535C">
        <w:t>ance</w:t>
      </w:r>
      <w:r w:rsidRPr="0071463C">
        <w:t xml:space="preserve"> </w:t>
      </w:r>
      <w:r w:rsidR="005E535C">
        <w:t>with</w:t>
      </w:r>
      <w:r w:rsidRPr="0071463C">
        <w:t xml:space="preserve"> subsection 910.03.D of the Standard Specifications for Construction</w:t>
      </w:r>
      <w:r w:rsidR="00F15879" w:rsidRPr="0071463C">
        <w:t>.</w:t>
      </w:r>
    </w:p>
    <w:p w14:paraId="36A1E057" w14:textId="77777777" w:rsidR="000B3855" w:rsidRPr="0071463C" w:rsidRDefault="000B3855" w:rsidP="00546D50">
      <w:pPr>
        <w:widowControl w:val="0"/>
        <w:jc w:val="both"/>
      </w:pPr>
    </w:p>
    <w:p w14:paraId="7B283488" w14:textId="75D3A982" w:rsidR="00FF2C49" w:rsidRPr="0071463C" w:rsidRDefault="00864A85" w:rsidP="00546D50">
      <w:pPr>
        <w:widowControl w:val="0"/>
        <w:ind w:firstLine="360"/>
        <w:jc w:val="both"/>
      </w:pPr>
      <w:r w:rsidRPr="0071463C">
        <w:rPr>
          <w:b/>
        </w:rPr>
        <w:t>c.</w:t>
      </w:r>
      <w:r w:rsidRPr="0071463C">
        <w:rPr>
          <w:b/>
        </w:rPr>
        <w:tab/>
        <w:t>Construction.</w:t>
      </w:r>
      <w:r w:rsidR="006B3016" w:rsidRPr="0071463C">
        <w:t xml:space="preserve">  </w:t>
      </w:r>
      <w:r w:rsidR="00E70DAD" w:rsidRPr="0071463C">
        <w:t>Prior to placing the IBFS</w:t>
      </w:r>
      <w:r w:rsidR="00BF6526" w:rsidRPr="0071463C">
        <w:t>A</w:t>
      </w:r>
      <w:r w:rsidR="00E70DAD" w:rsidRPr="0071463C">
        <w:t xml:space="preserve">, place </w:t>
      </w:r>
      <w:r w:rsidR="005626B7" w:rsidRPr="0071463C">
        <w:t>the</w:t>
      </w:r>
      <w:r w:rsidR="00E70DAD" w:rsidRPr="0071463C">
        <w:t xml:space="preserve"> </w:t>
      </w:r>
      <w:r w:rsidR="00E70DAD" w:rsidRPr="00292447">
        <w:t>stabilization</w:t>
      </w:r>
      <w:r w:rsidR="00E70DAD" w:rsidRPr="0071463C">
        <w:t xml:space="preserve"> geotextile on the prepared subgrade and excavat</w:t>
      </w:r>
      <w:r w:rsidR="00603C94" w:rsidRPr="0071463C">
        <w:t>ed</w:t>
      </w:r>
      <w:r w:rsidR="00E70DAD" w:rsidRPr="0071463C">
        <w:t xml:space="preserve"> slopes to completely encapsulate the IBFS</w:t>
      </w:r>
      <w:r w:rsidR="00BF6526" w:rsidRPr="0071463C">
        <w:t>A</w:t>
      </w:r>
      <w:r w:rsidR="00E70DAD" w:rsidRPr="0071463C">
        <w:t xml:space="preserve"> on all sides from the subgrade, surrou</w:t>
      </w:r>
      <w:r w:rsidR="00FB5AC1" w:rsidRPr="0071463C">
        <w:t>nding and overlying materials.</w:t>
      </w:r>
      <w:r w:rsidR="00FF2C49" w:rsidRPr="0071463C">
        <w:t xml:space="preserve"> </w:t>
      </w:r>
      <w:r w:rsidR="002D5D48" w:rsidRPr="0071463C">
        <w:t xml:space="preserve"> </w:t>
      </w:r>
      <w:r w:rsidR="00FF2C49" w:rsidRPr="0071463C">
        <w:t xml:space="preserve">Eliminate wrinkles or waves, which develop in the geotextile during placement.  </w:t>
      </w:r>
      <w:r w:rsidR="00497658" w:rsidRPr="0071463C">
        <w:t>S</w:t>
      </w:r>
      <w:r w:rsidR="00FF2C49" w:rsidRPr="0071463C">
        <w:t>hingle-lap (minimum of 2 feet</w:t>
      </w:r>
      <w:r w:rsidR="00912581">
        <w:t xml:space="preserve"> unless otherwise </w:t>
      </w:r>
      <w:r w:rsidR="00EA15EC">
        <w:t>shown</w:t>
      </w:r>
      <w:r w:rsidR="00912581">
        <w:t xml:space="preserve"> on the plans</w:t>
      </w:r>
      <w:r w:rsidR="00FF2C49" w:rsidRPr="0071463C">
        <w:t xml:space="preserve">) or seam all longitudinal and transverse joints in the geotextile.  Field or factory seams, sewn or sealed, must meet specified grab tensile strength.  Procedures for testing seams are detailed in </w:t>
      </w:r>
      <w:r w:rsidR="00FF2C49" w:rsidRPr="00546D50">
        <w:rPr>
          <w:i/>
          <w:iCs/>
        </w:rPr>
        <w:t>ASTM D4884</w:t>
      </w:r>
      <w:r w:rsidR="00690AB2">
        <w:rPr>
          <w:i/>
          <w:iCs/>
        </w:rPr>
        <w:t>/D4884M</w:t>
      </w:r>
      <w:r w:rsidR="00FF2C49" w:rsidRPr="0071463C">
        <w:t>.  Install seams facing upward to facilitate inspection.</w:t>
      </w:r>
    </w:p>
    <w:p w14:paraId="507437D2" w14:textId="77777777" w:rsidR="006131E5" w:rsidRPr="0071463C" w:rsidRDefault="006131E5" w:rsidP="00546D50">
      <w:pPr>
        <w:widowControl w:val="0"/>
        <w:jc w:val="both"/>
      </w:pPr>
    </w:p>
    <w:p w14:paraId="158E5B38" w14:textId="246601A0" w:rsidR="006131E5" w:rsidRPr="00546D50" w:rsidRDefault="006131E5" w:rsidP="00546D50">
      <w:pPr>
        <w:widowControl w:val="0"/>
        <w:jc w:val="both"/>
        <w:rPr>
          <w:bCs/>
        </w:rPr>
      </w:pPr>
      <w:r w:rsidRPr="0071463C">
        <w:t>Place and compact the IBFS</w:t>
      </w:r>
      <w:r w:rsidR="00BF6526" w:rsidRPr="0071463C">
        <w:t>A</w:t>
      </w:r>
      <w:r w:rsidRPr="0071463C">
        <w:t xml:space="preserve"> </w:t>
      </w:r>
      <w:r w:rsidR="00546D50">
        <w:t xml:space="preserve">in </w:t>
      </w:r>
      <w:r w:rsidRPr="0071463C">
        <w:t>accord</w:t>
      </w:r>
      <w:r w:rsidR="00546D50">
        <w:t xml:space="preserve">ance with </w:t>
      </w:r>
      <w:r w:rsidRPr="0071463C">
        <w:t xml:space="preserve">section 206 of the Standard Specifications for Construction, except as specified herein.  Do not place and compact layers less than 6 inches in thickness </w:t>
      </w:r>
      <w:r w:rsidR="002509C5" w:rsidRPr="0071463C">
        <w:t>and not</w:t>
      </w:r>
      <w:r w:rsidRPr="0071463C">
        <w:t xml:space="preserve"> more than 12 inches in thickness.  </w:t>
      </w:r>
      <w:r w:rsidR="000770DD" w:rsidRPr="0071463C">
        <w:t xml:space="preserve">Do not operate equipment </w:t>
      </w:r>
      <w:r w:rsidR="00BA2F5F" w:rsidRPr="0071463C">
        <w:t xml:space="preserve">directly on the geotextile.  </w:t>
      </w:r>
      <w:r w:rsidRPr="0071463C">
        <w:t xml:space="preserve">Place and spread the first layer </w:t>
      </w:r>
      <w:r w:rsidR="00497658" w:rsidRPr="0071463C">
        <w:t xml:space="preserve">of IBFSA </w:t>
      </w:r>
      <w:r w:rsidRPr="0071463C">
        <w:t xml:space="preserve">on the stabilization geotextile without </w:t>
      </w:r>
      <w:r w:rsidR="000770DD" w:rsidRPr="0071463C">
        <w:t xml:space="preserve">damaging the geotextile or breaking down </w:t>
      </w:r>
      <w:r w:rsidR="002509C5" w:rsidRPr="0071463C">
        <w:t>the IBFSA</w:t>
      </w:r>
      <w:r w:rsidRPr="0071463C">
        <w:t xml:space="preserve"> utilizing a method approved by the Engineer to achieve a uniform layer of 12 inches.  </w:t>
      </w:r>
      <w:r w:rsidR="00061839">
        <w:t>Compaction</w:t>
      </w:r>
      <w:r w:rsidRPr="0071463C">
        <w:t xml:space="preserve"> requirements are waived for the first layer.  Compact each successive layer </w:t>
      </w:r>
      <w:r w:rsidR="00B571EE" w:rsidRPr="0071463C">
        <w:t>utilizing the appropriate equipment to achieve desired compaction</w:t>
      </w:r>
      <w:r w:rsidR="009060B3" w:rsidRPr="0071463C">
        <w:t>,</w:t>
      </w:r>
      <w:r w:rsidR="00B571EE" w:rsidRPr="0071463C">
        <w:t xml:space="preserve"> </w:t>
      </w:r>
      <w:r w:rsidR="009060B3" w:rsidRPr="0071463C">
        <w:t xml:space="preserve">as approved by the Engineer, </w:t>
      </w:r>
      <w:r w:rsidR="00B571EE" w:rsidRPr="0071463C">
        <w:t xml:space="preserve">without breaking down the lightweight aggregate </w:t>
      </w:r>
      <w:r w:rsidRPr="0071463C">
        <w:t xml:space="preserve">to achieve a uniform stable surface.  </w:t>
      </w:r>
      <w:r w:rsidR="00061839">
        <w:t xml:space="preserve">Density acceptance testing is waived.  </w:t>
      </w:r>
      <w:r w:rsidRPr="0071463C">
        <w:t>Excessive compactive effort may result in the crushing of the IBFS</w:t>
      </w:r>
      <w:r w:rsidR="002509C5" w:rsidRPr="0071463C">
        <w:t>A</w:t>
      </w:r>
      <w:r w:rsidRPr="0071463C">
        <w:t xml:space="preserve"> and an undesirable increase in unit weight.  The expected in-place compacted </w:t>
      </w:r>
      <w:r w:rsidR="005F1BDC" w:rsidRPr="0071463C">
        <w:t xml:space="preserve">rodded </w:t>
      </w:r>
      <w:r w:rsidR="00963D4D" w:rsidRPr="0071463C">
        <w:t>unit weight range of the IBFS</w:t>
      </w:r>
      <w:r w:rsidR="00532764" w:rsidRPr="0071463C">
        <w:t>A</w:t>
      </w:r>
      <w:r w:rsidR="00963D4D" w:rsidRPr="0071463C">
        <w:t xml:space="preserve"> is </w:t>
      </w:r>
      <w:r w:rsidR="00497658" w:rsidRPr="0071463C">
        <w:t>7</w:t>
      </w:r>
      <w:r w:rsidR="00963D4D" w:rsidRPr="0071463C">
        <w:t xml:space="preserve">5 to </w:t>
      </w:r>
      <w:r w:rsidR="00497658" w:rsidRPr="0071463C">
        <w:t>80</w:t>
      </w:r>
      <w:r w:rsidR="00963D4D" w:rsidRPr="0071463C">
        <w:t xml:space="preserve"> </w:t>
      </w:r>
      <w:r w:rsidR="00F241D5">
        <w:t>pounds per cubic foot (</w:t>
      </w:r>
      <w:r w:rsidR="00963D4D" w:rsidRPr="00F241D5">
        <w:t>pcf</w:t>
      </w:r>
      <w:r w:rsidR="00F241D5">
        <w:t>)</w:t>
      </w:r>
      <w:r w:rsidR="00963D4D" w:rsidRPr="0071463C">
        <w:t>.  The in-place compacted unit weight of the IBFS</w:t>
      </w:r>
      <w:r w:rsidR="00BF6526" w:rsidRPr="0071463C">
        <w:t>A</w:t>
      </w:r>
      <w:r w:rsidR="00963D4D" w:rsidRPr="0071463C">
        <w:t xml:space="preserve"> must not exceed 8</w:t>
      </w:r>
      <w:r w:rsidR="00497658" w:rsidRPr="0071463C">
        <w:t>5</w:t>
      </w:r>
      <w:r w:rsidR="00963D4D" w:rsidRPr="0071463C">
        <w:t xml:space="preserve"> pcf</w:t>
      </w:r>
      <w:r w:rsidRPr="0071463C">
        <w:t>.</w:t>
      </w:r>
    </w:p>
    <w:p w14:paraId="114E245A" w14:textId="77777777" w:rsidR="00963D4D" w:rsidRPr="0071463C" w:rsidRDefault="00963D4D" w:rsidP="00546D50">
      <w:pPr>
        <w:widowControl w:val="0"/>
        <w:jc w:val="both"/>
      </w:pPr>
    </w:p>
    <w:p w14:paraId="7DD53C3A" w14:textId="785925F2" w:rsidR="00963D4D" w:rsidRPr="0071463C" w:rsidRDefault="00532764" w:rsidP="00546D50">
      <w:pPr>
        <w:widowControl w:val="0"/>
        <w:jc w:val="both"/>
      </w:pPr>
      <w:r w:rsidRPr="0071463C">
        <w:t>T</w:t>
      </w:r>
      <w:r w:rsidR="00963D4D" w:rsidRPr="0071463C">
        <w:t>o avoid crushing, over compaction and contamination of the material</w:t>
      </w:r>
      <w:r w:rsidRPr="0071463C">
        <w:t>, do not drive vehicles or equipment on IBFSA</w:t>
      </w:r>
      <w:r w:rsidR="00963D4D" w:rsidRPr="0071463C">
        <w:t xml:space="preserve">.  </w:t>
      </w:r>
      <w:r w:rsidRPr="0071463C">
        <w:t>R</w:t>
      </w:r>
      <w:r w:rsidR="00963D4D" w:rsidRPr="0071463C">
        <w:t>emove damaged or contaminated IBFS</w:t>
      </w:r>
      <w:r w:rsidR="00BF6526" w:rsidRPr="0071463C">
        <w:t>A</w:t>
      </w:r>
      <w:r w:rsidR="00963D4D" w:rsidRPr="0071463C">
        <w:t xml:space="preserve"> and place, trim and compact new IBFS</w:t>
      </w:r>
      <w:r w:rsidR="00BF6526" w:rsidRPr="0071463C">
        <w:t>A</w:t>
      </w:r>
      <w:r w:rsidR="00963D4D" w:rsidRPr="0071463C">
        <w:t xml:space="preserve"> over previously placed clean undamaged IBFS</w:t>
      </w:r>
      <w:r w:rsidR="00BF6526" w:rsidRPr="0071463C">
        <w:t>A</w:t>
      </w:r>
      <w:r w:rsidRPr="0071463C">
        <w:t xml:space="preserve"> as directed by the Engineer</w:t>
      </w:r>
      <w:r w:rsidR="00963D4D" w:rsidRPr="0071463C">
        <w:t xml:space="preserve">.  The cost of this removal and replacement will be </w:t>
      </w:r>
      <w:r w:rsidR="004745DC">
        <w:t xml:space="preserve">at no cost to the </w:t>
      </w:r>
      <w:r w:rsidR="00EA15EC">
        <w:t>contract</w:t>
      </w:r>
      <w:r w:rsidR="00963D4D" w:rsidRPr="0071463C">
        <w:t>.</w:t>
      </w:r>
    </w:p>
    <w:p w14:paraId="78746B5D" w14:textId="77777777" w:rsidR="00F641B8" w:rsidRPr="0071463C" w:rsidRDefault="00F641B8" w:rsidP="00546D50">
      <w:pPr>
        <w:widowControl w:val="0"/>
        <w:jc w:val="both"/>
      </w:pPr>
    </w:p>
    <w:p w14:paraId="2547B703" w14:textId="77777777" w:rsidR="00564C5A" w:rsidRPr="0071463C" w:rsidRDefault="00564C5A" w:rsidP="00546D50">
      <w:pPr>
        <w:widowControl w:val="0"/>
        <w:jc w:val="both"/>
      </w:pPr>
      <w:r w:rsidRPr="0071463C">
        <w:lastRenderedPageBreak/>
        <w:t xml:space="preserve">Protect the exposed surface </w:t>
      </w:r>
      <w:r w:rsidR="009060B3" w:rsidRPr="0071463C">
        <w:t xml:space="preserve">from contamination </w:t>
      </w:r>
      <w:r w:rsidRPr="0071463C">
        <w:t>of the IBFS</w:t>
      </w:r>
      <w:r w:rsidR="00BF6526" w:rsidRPr="0071463C">
        <w:t>A</w:t>
      </w:r>
      <w:r w:rsidR="009060B3" w:rsidRPr="0071463C">
        <w:t xml:space="preserve"> a</w:t>
      </w:r>
      <w:r w:rsidRPr="0071463C">
        <w:t>t the end of each work day</w:t>
      </w:r>
      <w:r w:rsidR="009060B3" w:rsidRPr="0071463C">
        <w:t>.</w:t>
      </w:r>
    </w:p>
    <w:p w14:paraId="4B44BB0A" w14:textId="77777777" w:rsidR="00864A85" w:rsidRPr="0071463C" w:rsidRDefault="00864A85" w:rsidP="00546D50">
      <w:pPr>
        <w:widowControl w:val="0"/>
        <w:jc w:val="both"/>
      </w:pPr>
    </w:p>
    <w:p w14:paraId="26C85D61" w14:textId="26236800" w:rsidR="00F938A6" w:rsidRPr="0071463C" w:rsidRDefault="00564C5A" w:rsidP="00546D50">
      <w:pPr>
        <w:widowControl w:val="0"/>
        <w:ind w:firstLine="360"/>
        <w:jc w:val="both"/>
      </w:pPr>
      <w:r w:rsidRPr="0071463C">
        <w:rPr>
          <w:b/>
        </w:rPr>
        <w:t>d.</w:t>
      </w:r>
      <w:r w:rsidRPr="0071463C">
        <w:rPr>
          <w:b/>
        </w:rPr>
        <w:tab/>
        <w:t>Testing and Acceptance.</w:t>
      </w:r>
      <w:r w:rsidRPr="0071463C">
        <w:t xml:space="preserve">  </w:t>
      </w:r>
      <w:r w:rsidR="00F938A6" w:rsidRPr="0071463C">
        <w:t>Acceptance of the IBFS</w:t>
      </w:r>
      <w:r w:rsidR="00BF6526" w:rsidRPr="0071463C">
        <w:t>A</w:t>
      </w:r>
      <w:r w:rsidR="00F938A6" w:rsidRPr="0071463C">
        <w:t xml:space="preserve"> will be based on gradation </w:t>
      </w:r>
      <w:r w:rsidR="0008782E" w:rsidRPr="0071463C">
        <w:t xml:space="preserve">and unit weight </w:t>
      </w:r>
      <w:r w:rsidR="00F938A6" w:rsidRPr="0071463C">
        <w:t>from samples obtained from the project site</w:t>
      </w:r>
      <w:r w:rsidR="002D5D48" w:rsidRPr="0071463C">
        <w:t>.</w:t>
      </w:r>
      <w:r w:rsidR="0008782E" w:rsidRPr="0071463C">
        <w:t xml:space="preserve"> </w:t>
      </w:r>
      <w:r w:rsidR="00F938A6" w:rsidRPr="0071463C">
        <w:t xml:space="preserve"> Sampling of the aggregate will be </w:t>
      </w:r>
      <w:r w:rsidR="00546D50">
        <w:t xml:space="preserve">in </w:t>
      </w:r>
      <w:r w:rsidR="00F938A6" w:rsidRPr="0071463C">
        <w:t>accord</w:t>
      </w:r>
      <w:r w:rsidR="00546D50">
        <w:t xml:space="preserve">ance with </w:t>
      </w:r>
      <w:r w:rsidR="00F938A6" w:rsidRPr="0071463C">
        <w:t xml:space="preserve">the </w:t>
      </w:r>
      <w:r w:rsidR="00F938A6" w:rsidRPr="0071463C">
        <w:rPr>
          <w:i/>
        </w:rPr>
        <w:t>Materials Quality Assurance Procedures Manual</w:t>
      </w:r>
      <w:r w:rsidR="00F938A6" w:rsidRPr="0071463C">
        <w:t>.  Make adequate allowance for degradation of the IBFS</w:t>
      </w:r>
      <w:r w:rsidR="00BF6526" w:rsidRPr="0071463C">
        <w:t>A</w:t>
      </w:r>
      <w:r w:rsidR="00F938A6" w:rsidRPr="0071463C">
        <w:t xml:space="preserve"> so that it will meet </w:t>
      </w:r>
      <w:r w:rsidR="00E566A5" w:rsidRPr="0071463C">
        <w:t>the</w:t>
      </w:r>
      <w:r w:rsidR="00F938A6" w:rsidRPr="0071463C">
        <w:t xml:space="preserve"> requirements </w:t>
      </w:r>
      <w:r w:rsidR="00E566A5" w:rsidRPr="0071463C">
        <w:t xml:space="preserve">herein </w:t>
      </w:r>
      <w:r w:rsidR="00F938A6" w:rsidRPr="0071463C">
        <w:t>after it is compacted in place.  The Engineer may sample and test the in place IBFS</w:t>
      </w:r>
      <w:r w:rsidR="00BF6526" w:rsidRPr="0071463C">
        <w:t>A</w:t>
      </w:r>
      <w:r w:rsidR="00F938A6" w:rsidRPr="0071463C">
        <w:t xml:space="preserve"> at any time.  If the IBFS</w:t>
      </w:r>
      <w:r w:rsidR="00BF6526" w:rsidRPr="0071463C">
        <w:t>A</w:t>
      </w:r>
      <w:r w:rsidR="00F938A6" w:rsidRPr="0071463C">
        <w:t xml:space="preserve"> is found not conforming to th</w:t>
      </w:r>
      <w:r w:rsidR="00546D50">
        <w:t>is</w:t>
      </w:r>
      <w:r w:rsidR="00F938A6" w:rsidRPr="0071463C">
        <w:t xml:space="preserve"> speci</w:t>
      </w:r>
      <w:r w:rsidR="00546D50">
        <w:t>al provision</w:t>
      </w:r>
      <w:r w:rsidR="00F938A6" w:rsidRPr="0071463C">
        <w:t>, immediately correct procedures used to place and compact the IBFS</w:t>
      </w:r>
      <w:r w:rsidR="00BF6526" w:rsidRPr="0071463C">
        <w:t>A</w:t>
      </w:r>
      <w:r w:rsidR="00F938A6" w:rsidRPr="0071463C">
        <w:t xml:space="preserve"> to ensure it meets the specifi</w:t>
      </w:r>
      <w:r w:rsidR="00546D50">
        <w:t>ed</w:t>
      </w:r>
      <w:r w:rsidR="00F938A6" w:rsidRPr="0071463C">
        <w:t xml:space="preserve"> requirements.</w:t>
      </w:r>
    </w:p>
    <w:p w14:paraId="6FB3178B" w14:textId="77777777" w:rsidR="008516D1" w:rsidRPr="0071463C" w:rsidRDefault="008516D1" w:rsidP="00546D50">
      <w:pPr>
        <w:widowControl w:val="0"/>
        <w:jc w:val="both"/>
      </w:pPr>
    </w:p>
    <w:p w14:paraId="449B305F" w14:textId="375992A1" w:rsidR="008516D1" w:rsidRPr="0071463C" w:rsidRDefault="008516D1" w:rsidP="00546D50">
      <w:pPr>
        <w:widowControl w:val="0"/>
        <w:jc w:val="both"/>
      </w:pPr>
      <w:r w:rsidRPr="0071463C">
        <w:t>Prior to delivery to the project</w:t>
      </w:r>
      <w:r w:rsidR="00E566A5" w:rsidRPr="0071463C">
        <w:t xml:space="preserve"> site</w:t>
      </w:r>
      <w:r w:rsidRPr="0071463C">
        <w:t>, provide written certification from the supplier that the IBFS</w:t>
      </w:r>
      <w:r w:rsidR="00BF6526" w:rsidRPr="0071463C">
        <w:t>A</w:t>
      </w:r>
      <w:r w:rsidRPr="0071463C">
        <w:t xml:space="preserve"> has been stockpiled for at least </w:t>
      </w:r>
      <w:r w:rsidR="004745DC">
        <w:t>30 calendar days</w:t>
      </w:r>
      <w:r w:rsidRPr="0071463C">
        <w:t xml:space="preserve"> and meets the acceptance criteria detailed in </w:t>
      </w:r>
      <w:r w:rsidRPr="00546D50">
        <w:rPr>
          <w:i/>
          <w:iCs/>
        </w:rPr>
        <w:t>MTM 129,</w:t>
      </w:r>
      <w:r w:rsidRPr="0071463C">
        <w:t xml:space="preserve"> </w:t>
      </w:r>
      <w:r w:rsidRPr="0071463C">
        <w:rPr>
          <w:i/>
        </w:rPr>
        <w:t>Leachate Determination of Iron Blast Furnace Slag used for Lightweight Aggregate Fill</w:t>
      </w:r>
      <w:r w:rsidRPr="0071463C">
        <w:t>.</w:t>
      </w:r>
      <w:r w:rsidR="009060B3" w:rsidRPr="0071463C">
        <w:t xml:space="preserve">  The leachate determination will be verified by the </w:t>
      </w:r>
      <w:r w:rsidR="00546D50">
        <w:t>D</w:t>
      </w:r>
      <w:r w:rsidR="00546D50" w:rsidRPr="0071463C">
        <w:t xml:space="preserve">epartment </w:t>
      </w:r>
      <w:r w:rsidR="009060B3" w:rsidRPr="0071463C">
        <w:t>prior to placement.</w:t>
      </w:r>
    </w:p>
    <w:p w14:paraId="109B968A" w14:textId="77777777" w:rsidR="00564C5A" w:rsidRPr="0071463C" w:rsidRDefault="00564C5A" w:rsidP="00546D50">
      <w:pPr>
        <w:widowControl w:val="0"/>
        <w:jc w:val="both"/>
      </w:pPr>
    </w:p>
    <w:p w14:paraId="3BEAE06F" w14:textId="77777777" w:rsidR="00864A85" w:rsidRPr="0071463C" w:rsidRDefault="00564C5A" w:rsidP="00546D50">
      <w:pPr>
        <w:widowControl w:val="0"/>
        <w:ind w:firstLine="360"/>
        <w:jc w:val="both"/>
      </w:pPr>
      <w:r w:rsidRPr="0071463C">
        <w:rPr>
          <w:b/>
        </w:rPr>
        <w:t>e</w:t>
      </w:r>
      <w:r w:rsidR="00864A85" w:rsidRPr="0071463C">
        <w:rPr>
          <w:b/>
        </w:rPr>
        <w:t>.</w:t>
      </w:r>
      <w:r w:rsidR="00864A85" w:rsidRPr="0071463C">
        <w:rPr>
          <w:b/>
        </w:rPr>
        <w:tab/>
        <w:t>Measurement and Payment.</w:t>
      </w:r>
      <w:r w:rsidR="00864A85" w:rsidRPr="0071463C">
        <w:t xml:space="preserve">  The completed work</w:t>
      </w:r>
      <w:r w:rsidR="0092207C" w:rsidRPr="0071463C">
        <w:t>,</w:t>
      </w:r>
      <w:r w:rsidR="00864A85" w:rsidRPr="0071463C">
        <w:t xml:space="preserve"> as described</w:t>
      </w:r>
      <w:r w:rsidR="0092207C" w:rsidRPr="0071463C">
        <w:t>,</w:t>
      </w:r>
      <w:r w:rsidR="00864A85" w:rsidRPr="0071463C">
        <w:t xml:space="preserve"> will be measured and paid for at the contract unit price usin</w:t>
      </w:r>
      <w:r w:rsidR="008D29F9" w:rsidRPr="0071463C">
        <w:t xml:space="preserve">g the following </w:t>
      </w:r>
      <w:r w:rsidR="007C636A" w:rsidRPr="0071463C">
        <w:t>pay item:</w:t>
      </w:r>
    </w:p>
    <w:p w14:paraId="3CB0D3EC" w14:textId="77777777" w:rsidR="00820550" w:rsidRPr="0071463C" w:rsidRDefault="00820550" w:rsidP="00546D50">
      <w:pPr>
        <w:widowControl w:val="0"/>
        <w:jc w:val="both"/>
      </w:pPr>
    </w:p>
    <w:p w14:paraId="66BED727" w14:textId="77777777" w:rsidR="00820550" w:rsidRPr="0071463C" w:rsidRDefault="007C636A" w:rsidP="00546D50">
      <w:pPr>
        <w:widowControl w:val="0"/>
        <w:tabs>
          <w:tab w:val="right" w:pos="9360"/>
        </w:tabs>
        <w:ind w:left="720"/>
        <w:jc w:val="both"/>
        <w:rPr>
          <w:b/>
        </w:rPr>
      </w:pPr>
      <w:r w:rsidRPr="0071463C">
        <w:rPr>
          <w:b/>
        </w:rPr>
        <w:t>Pay Item</w:t>
      </w:r>
      <w:r w:rsidR="00820550" w:rsidRPr="0071463C">
        <w:tab/>
      </w:r>
      <w:r w:rsidR="00820550" w:rsidRPr="0071463C">
        <w:rPr>
          <w:b/>
        </w:rPr>
        <w:t>Pay Unit</w:t>
      </w:r>
    </w:p>
    <w:p w14:paraId="4250EBE1" w14:textId="77777777" w:rsidR="00820550" w:rsidRPr="0071463C" w:rsidRDefault="00820550" w:rsidP="00546D50">
      <w:pPr>
        <w:widowControl w:val="0"/>
        <w:jc w:val="both"/>
      </w:pPr>
    </w:p>
    <w:p w14:paraId="3575E21E" w14:textId="77777777" w:rsidR="00820550" w:rsidRPr="0071463C" w:rsidRDefault="005E365E" w:rsidP="00546D50">
      <w:pPr>
        <w:widowControl w:val="0"/>
        <w:tabs>
          <w:tab w:val="right" w:leader="dot" w:pos="9360"/>
        </w:tabs>
        <w:ind w:left="720"/>
        <w:jc w:val="both"/>
      </w:pPr>
      <w:r w:rsidRPr="0071463C">
        <w:t>Backf</w:t>
      </w:r>
      <w:r w:rsidR="00624107" w:rsidRPr="0071463C">
        <w:t xml:space="preserve">ill, Lightweight, </w:t>
      </w:r>
      <w:r w:rsidR="0071463C" w:rsidRPr="0075598A">
        <w:t>Iron Blast Furnace Slag Aggregate</w:t>
      </w:r>
      <w:r w:rsidRPr="0071463C">
        <w:t>, LM</w:t>
      </w:r>
      <w:r w:rsidRPr="0071463C">
        <w:tab/>
        <w:t>Cubic Yard</w:t>
      </w:r>
    </w:p>
    <w:p w14:paraId="06706867" w14:textId="77777777" w:rsidR="00820550" w:rsidRPr="0071463C" w:rsidRDefault="00820550" w:rsidP="00546D50">
      <w:pPr>
        <w:widowControl w:val="0"/>
        <w:jc w:val="both"/>
      </w:pPr>
    </w:p>
    <w:p w14:paraId="2161E02E" w14:textId="77777777" w:rsidR="00E566A5" w:rsidRPr="0071463C" w:rsidRDefault="0071463C" w:rsidP="00546D50">
      <w:pPr>
        <w:widowControl w:val="0"/>
        <w:jc w:val="both"/>
      </w:pPr>
      <w:r w:rsidRPr="0071463C">
        <w:rPr>
          <w:b/>
        </w:rPr>
        <w:t>Backfill, Lightweight, Iron Blast Furnace Slag Aggregate, LM</w:t>
      </w:r>
      <w:r w:rsidRPr="0071463C" w:rsidDel="0071463C">
        <w:rPr>
          <w:b/>
        </w:rPr>
        <w:t xml:space="preserve"> </w:t>
      </w:r>
      <w:r w:rsidR="00820550" w:rsidRPr="0071463C">
        <w:t xml:space="preserve">will be measured </w:t>
      </w:r>
      <w:r w:rsidR="00624107" w:rsidRPr="0071463C">
        <w:t>based on hauling unit dimensions and load count, prior to placement and compaction.</w:t>
      </w:r>
      <w:r w:rsidR="00254A06" w:rsidRPr="0071463C">
        <w:t xml:space="preserve">  Payment for </w:t>
      </w:r>
      <w:r w:rsidRPr="0075598A">
        <w:rPr>
          <w:b/>
        </w:rPr>
        <w:t>Backfill, Lightweight, Iron Blast Furnace Slag Aggregate, LM</w:t>
      </w:r>
      <w:r w:rsidRPr="0075598A" w:rsidDel="0071463C">
        <w:rPr>
          <w:b/>
        </w:rPr>
        <w:t xml:space="preserve"> </w:t>
      </w:r>
      <w:r w:rsidR="00820550" w:rsidRPr="0071463C">
        <w:t xml:space="preserve">constitutes full </w:t>
      </w:r>
      <w:r w:rsidR="00E63B72" w:rsidRPr="0071463C">
        <w:t xml:space="preserve">compensation </w:t>
      </w:r>
      <w:r w:rsidR="00820550" w:rsidRPr="0071463C">
        <w:t>for completi</w:t>
      </w:r>
      <w:r w:rsidR="00307D54" w:rsidRPr="0071463C">
        <w:t xml:space="preserve">ng the work as described herein and includes all costs for stockpiling, furnishing, hauling, placing, compacting (including water), and shaping the material at specified locations.  Payment for </w:t>
      </w:r>
      <w:r w:rsidRPr="0075598A">
        <w:rPr>
          <w:b/>
        </w:rPr>
        <w:t>Backfill, Lightweight, Iron Blast Furnace Slag Aggregate, LM</w:t>
      </w:r>
      <w:r w:rsidRPr="0075598A" w:rsidDel="0071463C">
        <w:rPr>
          <w:b/>
        </w:rPr>
        <w:t xml:space="preserve"> </w:t>
      </w:r>
      <w:r w:rsidR="00307D54" w:rsidRPr="0071463C">
        <w:t>includes all costs associated with furnishing and placing the stabilization geotextile.</w:t>
      </w:r>
      <w:r w:rsidR="00603C94" w:rsidRPr="0071463C">
        <w:t xml:space="preserve">  No payment will be made for any overlaps, splices or material cut off or wasted.</w:t>
      </w:r>
    </w:p>
    <w:sectPr w:rsidR="00E566A5" w:rsidRPr="0071463C" w:rsidSect="00690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D95FC" w14:textId="77777777" w:rsidR="00574D9C" w:rsidRDefault="00574D9C">
      <w:r>
        <w:separator/>
      </w:r>
    </w:p>
  </w:endnote>
  <w:endnote w:type="continuationSeparator" w:id="0">
    <w:p w14:paraId="28F12B0D" w14:textId="77777777" w:rsidR="00574D9C" w:rsidRDefault="0057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1FEB" w14:textId="77777777" w:rsidR="00C8695A" w:rsidRDefault="00C86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77B1" w14:textId="77777777" w:rsidR="00C8695A" w:rsidRDefault="00C86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6284" w14:textId="77777777" w:rsidR="00C8695A" w:rsidRDefault="00C86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40485" w14:textId="77777777" w:rsidR="00574D9C" w:rsidRDefault="00574D9C">
      <w:r>
        <w:separator/>
      </w:r>
    </w:p>
  </w:footnote>
  <w:footnote w:type="continuationSeparator" w:id="0">
    <w:p w14:paraId="5E80D20F" w14:textId="77777777" w:rsidR="00574D9C" w:rsidRDefault="0057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92EC" w14:textId="77777777" w:rsidR="00C8695A" w:rsidRDefault="00C86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1581" w14:textId="4EBABE85" w:rsidR="00690AB2" w:rsidRPr="00924EF7" w:rsidRDefault="00690AB2" w:rsidP="00690AB2">
    <w:pPr>
      <w:jc w:val="right"/>
      <w:rPr>
        <w:sz w:val="24"/>
        <w:szCs w:val="24"/>
      </w:rPr>
    </w:pPr>
    <w:r w:rsidRPr="00924EF7">
      <w:rPr>
        <w:sz w:val="24"/>
        <w:szCs w:val="24"/>
      </w:rPr>
      <w:t>20BR206(</w:t>
    </w:r>
    <w:r w:rsidR="00546D50">
      <w:rPr>
        <w:sz w:val="24"/>
        <w:szCs w:val="24"/>
      </w:rPr>
      <w:t>A010</w:t>
    </w:r>
    <w:r w:rsidRPr="00924EF7">
      <w:rPr>
        <w:sz w:val="24"/>
        <w:szCs w:val="24"/>
      </w:rPr>
      <w:t>)</w:t>
    </w:r>
  </w:p>
  <w:p w14:paraId="537D9966" w14:textId="5CE5D440" w:rsidR="004C341C" w:rsidRPr="00546D50" w:rsidRDefault="004C341C" w:rsidP="00546D50">
    <w:pPr>
      <w:tabs>
        <w:tab w:val="center" w:pos="4680"/>
        <w:tab w:val="right" w:pos="9360"/>
      </w:tabs>
      <w:jc w:val="both"/>
      <w:rPr>
        <w:sz w:val="24"/>
        <w:szCs w:val="24"/>
      </w:rPr>
    </w:pPr>
    <w:r w:rsidRPr="00546D50">
      <w:rPr>
        <w:sz w:val="24"/>
        <w:szCs w:val="24"/>
      </w:rPr>
      <w:t>BRG:J</w:t>
    </w:r>
    <w:r w:rsidR="00EA15EC" w:rsidRPr="00546D50">
      <w:rPr>
        <w:sz w:val="24"/>
        <w:szCs w:val="24"/>
      </w:rPr>
      <w:t>V</w:t>
    </w:r>
    <w:r w:rsidRPr="00546D50">
      <w:rPr>
        <w:sz w:val="24"/>
        <w:szCs w:val="24"/>
      </w:rPr>
      <w:t>N</w:t>
    </w:r>
    <w:r w:rsidRPr="00546D50">
      <w:rPr>
        <w:sz w:val="24"/>
        <w:szCs w:val="24"/>
      </w:rPr>
      <w:tab/>
    </w:r>
    <w:r w:rsidRPr="00546D50">
      <w:rPr>
        <w:rStyle w:val="PageNumber"/>
        <w:sz w:val="24"/>
        <w:szCs w:val="24"/>
      </w:rPr>
      <w:fldChar w:fldCharType="begin"/>
    </w:r>
    <w:r w:rsidRPr="00546D50">
      <w:rPr>
        <w:rStyle w:val="PageNumber"/>
        <w:sz w:val="24"/>
        <w:szCs w:val="24"/>
      </w:rPr>
      <w:instrText xml:space="preserve"> PAGE </w:instrText>
    </w:r>
    <w:r w:rsidRPr="00546D50">
      <w:rPr>
        <w:rStyle w:val="PageNumber"/>
        <w:sz w:val="24"/>
        <w:szCs w:val="24"/>
      </w:rPr>
      <w:fldChar w:fldCharType="separate"/>
    </w:r>
    <w:r w:rsidRPr="00546D50">
      <w:rPr>
        <w:rStyle w:val="PageNumber"/>
        <w:noProof/>
        <w:sz w:val="24"/>
        <w:szCs w:val="24"/>
      </w:rPr>
      <w:t>2</w:t>
    </w:r>
    <w:r w:rsidRPr="00546D50">
      <w:rPr>
        <w:rStyle w:val="PageNumber"/>
        <w:sz w:val="24"/>
        <w:szCs w:val="24"/>
      </w:rPr>
      <w:fldChar w:fldCharType="end"/>
    </w:r>
    <w:r w:rsidRPr="00546D50">
      <w:rPr>
        <w:rStyle w:val="PageNumber"/>
        <w:sz w:val="24"/>
        <w:szCs w:val="24"/>
      </w:rPr>
      <w:t xml:space="preserve"> of </w:t>
    </w:r>
    <w:r w:rsidRPr="00546D50">
      <w:rPr>
        <w:rStyle w:val="PageNumber"/>
        <w:sz w:val="24"/>
        <w:szCs w:val="24"/>
      </w:rPr>
      <w:fldChar w:fldCharType="begin"/>
    </w:r>
    <w:r w:rsidRPr="00546D50">
      <w:rPr>
        <w:rStyle w:val="PageNumber"/>
        <w:sz w:val="24"/>
        <w:szCs w:val="24"/>
      </w:rPr>
      <w:instrText xml:space="preserve"> NUMPAGES </w:instrText>
    </w:r>
    <w:r w:rsidRPr="00546D50">
      <w:rPr>
        <w:rStyle w:val="PageNumber"/>
        <w:sz w:val="24"/>
        <w:szCs w:val="24"/>
      </w:rPr>
      <w:fldChar w:fldCharType="separate"/>
    </w:r>
    <w:r w:rsidRPr="00546D50">
      <w:rPr>
        <w:rStyle w:val="PageNumber"/>
        <w:noProof/>
        <w:sz w:val="24"/>
        <w:szCs w:val="24"/>
      </w:rPr>
      <w:t>2</w:t>
    </w:r>
    <w:r w:rsidRPr="00546D50">
      <w:rPr>
        <w:rStyle w:val="PageNumber"/>
        <w:sz w:val="24"/>
        <w:szCs w:val="24"/>
      </w:rPr>
      <w:fldChar w:fldCharType="end"/>
    </w:r>
    <w:r w:rsidRPr="00546D50">
      <w:rPr>
        <w:rStyle w:val="PageNumber"/>
        <w:sz w:val="24"/>
        <w:szCs w:val="24"/>
      </w:rPr>
      <w:tab/>
    </w:r>
    <w:r w:rsidR="00D70E93" w:rsidRPr="00546D50">
      <w:rPr>
        <w:rStyle w:val="PageNumber"/>
        <w:sz w:val="24"/>
        <w:szCs w:val="24"/>
      </w:rPr>
      <w:t>0</w:t>
    </w:r>
    <w:r w:rsidR="00690AB2">
      <w:rPr>
        <w:rStyle w:val="PageNumber"/>
        <w:sz w:val="24"/>
        <w:szCs w:val="24"/>
      </w:rPr>
      <w:t>2</w:t>
    </w:r>
    <w:r w:rsidR="00D70E93" w:rsidRPr="00546D50">
      <w:rPr>
        <w:rStyle w:val="PageNumber"/>
        <w:sz w:val="24"/>
        <w:szCs w:val="24"/>
      </w:rPr>
      <w:t>-</w:t>
    </w:r>
    <w:r w:rsidR="00690AB2">
      <w:rPr>
        <w:rStyle w:val="PageNumber"/>
        <w:sz w:val="24"/>
        <w:szCs w:val="24"/>
      </w:rPr>
      <w:t>22</w:t>
    </w:r>
    <w:r w:rsidR="00D70E93" w:rsidRPr="00546D50">
      <w:rPr>
        <w:rStyle w:val="PageNumber"/>
        <w:sz w:val="24"/>
        <w:szCs w:val="24"/>
      </w:rPr>
      <w:t>-2</w:t>
    </w:r>
    <w:r w:rsidR="00690AB2">
      <w:rPr>
        <w:rStyle w:val="PageNumber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25E2" w14:textId="73B5E595" w:rsidR="004C341C" w:rsidRPr="00546D50" w:rsidRDefault="00BC1E42" w:rsidP="00546D50">
    <w:pPr>
      <w:jc w:val="right"/>
      <w:rPr>
        <w:sz w:val="24"/>
        <w:szCs w:val="24"/>
      </w:rPr>
    </w:pPr>
    <w:r w:rsidRPr="00546D50">
      <w:rPr>
        <w:sz w:val="24"/>
        <w:szCs w:val="24"/>
      </w:rPr>
      <w:t>20</w:t>
    </w:r>
    <w:r w:rsidR="00D70E93" w:rsidRPr="00546D50">
      <w:rPr>
        <w:sz w:val="24"/>
        <w:szCs w:val="24"/>
      </w:rPr>
      <w:t>BR206</w:t>
    </w:r>
    <w:r w:rsidR="004C341C" w:rsidRPr="00546D50">
      <w:rPr>
        <w:sz w:val="24"/>
        <w:szCs w:val="24"/>
      </w:rPr>
      <w:t>(</w:t>
    </w:r>
    <w:r w:rsidR="00546D50">
      <w:rPr>
        <w:sz w:val="24"/>
        <w:szCs w:val="24"/>
      </w:rPr>
      <w:t>A010</w:t>
    </w:r>
    <w:r w:rsidR="004C341C" w:rsidRPr="00546D50"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5"/>
    <w:rsid w:val="00011934"/>
    <w:rsid w:val="00015C2B"/>
    <w:rsid w:val="0002331A"/>
    <w:rsid w:val="00023CBC"/>
    <w:rsid w:val="00042232"/>
    <w:rsid w:val="00061839"/>
    <w:rsid w:val="00061A7A"/>
    <w:rsid w:val="00065E00"/>
    <w:rsid w:val="000770DD"/>
    <w:rsid w:val="0008782E"/>
    <w:rsid w:val="00093074"/>
    <w:rsid w:val="000A1330"/>
    <w:rsid w:val="000A2445"/>
    <w:rsid w:val="000B3855"/>
    <w:rsid w:val="000B5212"/>
    <w:rsid w:val="000D6AFA"/>
    <w:rsid w:val="000F1B9E"/>
    <w:rsid w:val="000F6458"/>
    <w:rsid w:val="00105549"/>
    <w:rsid w:val="001162A0"/>
    <w:rsid w:val="001824E8"/>
    <w:rsid w:val="0018612C"/>
    <w:rsid w:val="0019678C"/>
    <w:rsid w:val="001A71FF"/>
    <w:rsid w:val="001D7D00"/>
    <w:rsid w:val="001E2EEB"/>
    <w:rsid w:val="001F3249"/>
    <w:rsid w:val="001F4FCE"/>
    <w:rsid w:val="002145C7"/>
    <w:rsid w:val="002509C5"/>
    <w:rsid w:val="00254A06"/>
    <w:rsid w:val="00280428"/>
    <w:rsid w:val="0028211A"/>
    <w:rsid w:val="002843BF"/>
    <w:rsid w:val="00292447"/>
    <w:rsid w:val="002A2515"/>
    <w:rsid w:val="002B586D"/>
    <w:rsid w:val="002D3C30"/>
    <w:rsid w:val="002D5D48"/>
    <w:rsid w:val="002E02E5"/>
    <w:rsid w:val="002F7E2A"/>
    <w:rsid w:val="00306821"/>
    <w:rsid w:val="00307D54"/>
    <w:rsid w:val="00337A26"/>
    <w:rsid w:val="00374FA1"/>
    <w:rsid w:val="00375C1B"/>
    <w:rsid w:val="003A5945"/>
    <w:rsid w:val="003C004B"/>
    <w:rsid w:val="003C3DB6"/>
    <w:rsid w:val="003D3F2D"/>
    <w:rsid w:val="003D5370"/>
    <w:rsid w:val="003D563B"/>
    <w:rsid w:val="003F3239"/>
    <w:rsid w:val="004113AA"/>
    <w:rsid w:val="00411633"/>
    <w:rsid w:val="00414383"/>
    <w:rsid w:val="004226BD"/>
    <w:rsid w:val="00427014"/>
    <w:rsid w:val="00444A97"/>
    <w:rsid w:val="00462513"/>
    <w:rsid w:val="004745DC"/>
    <w:rsid w:val="00476D27"/>
    <w:rsid w:val="00485B82"/>
    <w:rsid w:val="0049199B"/>
    <w:rsid w:val="00492B5C"/>
    <w:rsid w:val="00497658"/>
    <w:rsid w:val="004C341C"/>
    <w:rsid w:val="004D4E33"/>
    <w:rsid w:val="004F137F"/>
    <w:rsid w:val="005004B9"/>
    <w:rsid w:val="0052688F"/>
    <w:rsid w:val="00532764"/>
    <w:rsid w:val="00532AE9"/>
    <w:rsid w:val="00535D65"/>
    <w:rsid w:val="00546D50"/>
    <w:rsid w:val="00553E04"/>
    <w:rsid w:val="005626B7"/>
    <w:rsid w:val="00564C5A"/>
    <w:rsid w:val="00574D9C"/>
    <w:rsid w:val="00595C9D"/>
    <w:rsid w:val="005C1B23"/>
    <w:rsid w:val="005E365E"/>
    <w:rsid w:val="005E535C"/>
    <w:rsid w:val="005F1BDC"/>
    <w:rsid w:val="00603C94"/>
    <w:rsid w:val="006131E5"/>
    <w:rsid w:val="00624107"/>
    <w:rsid w:val="00625B8D"/>
    <w:rsid w:val="0066724D"/>
    <w:rsid w:val="006869B4"/>
    <w:rsid w:val="00690AB2"/>
    <w:rsid w:val="006973C6"/>
    <w:rsid w:val="006B3016"/>
    <w:rsid w:val="006C0C18"/>
    <w:rsid w:val="0071463C"/>
    <w:rsid w:val="0074568C"/>
    <w:rsid w:val="0075573E"/>
    <w:rsid w:val="0076262F"/>
    <w:rsid w:val="00762DB4"/>
    <w:rsid w:val="00764078"/>
    <w:rsid w:val="007A656D"/>
    <w:rsid w:val="007B4EDD"/>
    <w:rsid w:val="007C636A"/>
    <w:rsid w:val="007E06D6"/>
    <w:rsid w:val="007E2DEC"/>
    <w:rsid w:val="007E4B17"/>
    <w:rsid w:val="00807204"/>
    <w:rsid w:val="00807909"/>
    <w:rsid w:val="00820550"/>
    <w:rsid w:val="0083249A"/>
    <w:rsid w:val="00835822"/>
    <w:rsid w:val="008516D1"/>
    <w:rsid w:val="00864A85"/>
    <w:rsid w:val="008778B2"/>
    <w:rsid w:val="00895518"/>
    <w:rsid w:val="008B004A"/>
    <w:rsid w:val="008B5C30"/>
    <w:rsid w:val="008D29F9"/>
    <w:rsid w:val="008D52BF"/>
    <w:rsid w:val="008D7EAC"/>
    <w:rsid w:val="008E1C1B"/>
    <w:rsid w:val="00900C9C"/>
    <w:rsid w:val="009060B3"/>
    <w:rsid w:val="009077DC"/>
    <w:rsid w:val="00912581"/>
    <w:rsid w:val="00914672"/>
    <w:rsid w:val="0092207C"/>
    <w:rsid w:val="0092313B"/>
    <w:rsid w:val="00924F03"/>
    <w:rsid w:val="00940751"/>
    <w:rsid w:val="00941301"/>
    <w:rsid w:val="00963D4D"/>
    <w:rsid w:val="00980D7C"/>
    <w:rsid w:val="009A41FB"/>
    <w:rsid w:val="009B46FE"/>
    <w:rsid w:val="009C71F5"/>
    <w:rsid w:val="009D37F3"/>
    <w:rsid w:val="00A0414D"/>
    <w:rsid w:val="00A318B0"/>
    <w:rsid w:val="00A41202"/>
    <w:rsid w:val="00A7712E"/>
    <w:rsid w:val="00A80021"/>
    <w:rsid w:val="00A86484"/>
    <w:rsid w:val="00A92737"/>
    <w:rsid w:val="00A9310F"/>
    <w:rsid w:val="00AA48ED"/>
    <w:rsid w:val="00AE49DC"/>
    <w:rsid w:val="00B047CC"/>
    <w:rsid w:val="00B20961"/>
    <w:rsid w:val="00B264F5"/>
    <w:rsid w:val="00B301FB"/>
    <w:rsid w:val="00B45858"/>
    <w:rsid w:val="00B571EE"/>
    <w:rsid w:val="00B6539E"/>
    <w:rsid w:val="00B70CBD"/>
    <w:rsid w:val="00B83DCA"/>
    <w:rsid w:val="00BA2F5F"/>
    <w:rsid w:val="00BA4EEA"/>
    <w:rsid w:val="00BC1E42"/>
    <w:rsid w:val="00BD132C"/>
    <w:rsid w:val="00BF6526"/>
    <w:rsid w:val="00C06E6B"/>
    <w:rsid w:val="00C37F88"/>
    <w:rsid w:val="00C46ADC"/>
    <w:rsid w:val="00C807CC"/>
    <w:rsid w:val="00C84082"/>
    <w:rsid w:val="00C86017"/>
    <w:rsid w:val="00C861FB"/>
    <w:rsid w:val="00C8628D"/>
    <w:rsid w:val="00C8695A"/>
    <w:rsid w:val="00CC40FA"/>
    <w:rsid w:val="00CF25D0"/>
    <w:rsid w:val="00D205ED"/>
    <w:rsid w:val="00D30DC4"/>
    <w:rsid w:val="00D35119"/>
    <w:rsid w:val="00D5542F"/>
    <w:rsid w:val="00D6625A"/>
    <w:rsid w:val="00D67929"/>
    <w:rsid w:val="00D70E93"/>
    <w:rsid w:val="00D97506"/>
    <w:rsid w:val="00D977B8"/>
    <w:rsid w:val="00DA3972"/>
    <w:rsid w:val="00DA7B22"/>
    <w:rsid w:val="00DB601E"/>
    <w:rsid w:val="00DB6204"/>
    <w:rsid w:val="00DE57BD"/>
    <w:rsid w:val="00DF62CF"/>
    <w:rsid w:val="00E050A6"/>
    <w:rsid w:val="00E5174E"/>
    <w:rsid w:val="00E54812"/>
    <w:rsid w:val="00E566A5"/>
    <w:rsid w:val="00E63B72"/>
    <w:rsid w:val="00E66FAC"/>
    <w:rsid w:val="00E70DAD"/>
    <w:rsid w:val="00E81B5B"/>
    <w:rsid w:val="00E81EA3"/>
    <w:rsid w:val="00E83CC8"/>
    <w:rsid w:val="00EA15EC"/>
    <w:rsid w:val="00EA6934"/>
    <w:rsid w:val="00ED2D56"/>
    <w:rsid w:val="00F15879"/>
    <w:rsid w:val="00F158E6"/>
    <w:rsid w:val="00F241D5"/>
    <w:rsid w:val="00F27DD6"/>
    <w:rsid w:val="00F46951"/>
    <w:rsid w:val="00F47CAF"/>
    <w:rsid w:val="00F641B8"/>
    <w:rsid w:val="00F715FA"/>
    <w:rsid w:val="00F810C3"/>
    <w:rsid w:val="00F911A1"/>
    <w:rsid w:val="00F938A6"/>
    <w:rsid w:val="00F9742D"/>
    <w:rsid w:val="00FB0E99"/>
    <w:rsid w:val="00FB5AC1"/>
    <w:rsid w:val="00FB73A6"/>
    <w:rsid w:val="00FC072A"/>
    <w:rsid w:val="00FE0BDE"/>
    <w:rsid w:val="00FF2C49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21BC1B"/>
  <w15:chartTrackingRefBased/>
  <w15:docId w15:val="{24E6CD3B-CA63-4087-89B8-56C8F4C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table" w:styleId="TableGrid">
    <w:name w:val="Table Grid"/>
    <w:basedOn w:val="TableNormal"/>
    <w:rsid w:val="00DF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2E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5858"/>
    <w:rPr>
      <w:sz w:val="16"/>
      <w:szCs w:val="16"/>
    </w:rPr>
  </w:style>
  <w:style w:type="paragraph" w:styleId="CommentText">
    <w:name w:val="annotation text"/>
    <w:basedOn w:val="Normal"/>
    <w:semiHidden/>
    <w:rsid w:val="00B458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5858"/>
    <w:rPr>
      <w:b/>
      <w:bCs/>
    </w:rPr>
  </w:style>
  <w:style w:type="paragraph" w:styleId="Revision">
    <w:name w:val="Revision"/>
    <w:hidden/>
    <w:uiPriority w:val="99"/>
    <w:semiHidden/>
    <w:rsid w:val="004745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EF17-1AFA-4A4E-AC83-0CCD2B9E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Leppalar</dc:creator>
  <cp:keywords/>
  <dc:description/>
  <cp:lastModifiedBy>Kristi</cp:lastModifiedBy>
  <cp:revision>2</cp:revision>
  <cp:lastPrinted>2021-02-22T20:23:00Z</cp:lastPrinted>
  <dcterms:created xsi:type="dcterms:W3CDTF">2021-02-23T13:03:00Z</dcterms:created>
  <dcterms:modified xsi:type="dcterms:W3CDTF">2021-02-23T13:03:00Z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PeuseE@michigan.gov</vt:lpwstr>
  </property>
  <property fmtid="{D5CDD505-2E9C-101B-9397-08002B2CF9AE}" pid="5" name="MSIP_Label_3a2fed65-62e7-46ea-af74-187e0c17143a_SetDate">
    <vt:lpwstr>2020-05-19T15:56:23.0794667Z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198e43ea-3768-43c9-837a-7dfa22c88fba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